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44"/>
          <w:szCs w:val="44"/>
        </w:rPr>
      </w:pPr>
      <w:r>
        <w:rPr>
          <w:rFonts w:hint="eastAsia" w:ascii="方正仿宋_GBK" w:hAnsi="方正仿宋_GBK" w:eastAsia="方正仿宋_GBK" w:cs="方正仿宋_GBK"/>
          <w:sz w:val="44"/>
          <w:szCs w:val="44"/>
        </w:rPr>
        <w:t>中垦华山牧乳业有限公司关于常温库房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hAnsi="方正仿宋_GBK" w:eastAsia="方正仿宋_GBK" w:cs="方正仿宋_GBK"/>
          <w:sz w:val="44"/>
          <w:szCs w:val="44"/>
        </w:rPr>
      </w:pPr>
      <w:r>
        <w:rPr>
          <w:rFonts w:hint="eastAsia" w:ascii="方正仿宋_GBK" w:hAnsi="方正仿宋_GBK" w:eastAsia="方正仿宋_GBK" w:cs="方正仿宋_GBK"/>
          <w:sz w:val="44"/>
          <w:szCs w:val="44"/>
        </w:rPr>
        <w:t>租赁公示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我公司随着经营规模的不断扩大，导致库存压力较大，为了保障公司产品存放及质量要求，现需</w:t>
      </w:r>
      <w:r>
        <w:rPr>
          <w:rFonts w:hint="eastAsia" w:ascii="方正仿宋_GBK" w:hAnsi="方正仿宋_GBK" w:eastAsia="方正仿宋_GBK" w:cs="方正仿宋_GBK"/>
          <w:sz w:val="32"/>
          <w:szCs w:val="32"/>
          <w:lang w:val="en-US" w:eastAsia="zh-CN"/>
        </w:rPr>
        <w:t>租赁</w:t>
      </w:r>
      <w:r>
        <w:rPr>
          <w:rFonts w:hint="eastAsia" w:ascii="方正仿宋_GBK" w:hAnsi="方正仿宋_GBK" w:eastAsia="方正仿宋_GBK" w:cs="方正仿宋_GBK"/>
          <w:sz w:val="32"/>
          <w:szCs w:val="32"/>
        </w:rPr>
        <w:t>距我司10公里内的外租常温产品仓储库房一处，库容为3700平方左右，库房面积及相关基础设施符合食品仓储管理要求均可参与我司库房承租业务洽谈，并提供加盖公章的（附件:1租赁报价、附件:2营业执照、附件:3库房产权证明或者租赁合同）。</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此报价公示截止时间：2025年10</w:t>
      </w:r>
      <w:r>
        <w:rPr>
          <w:rFonts w:hint="eastAsia" w:ascii="方正仿宋_GBK" w:hAnsi="方正仿宋_GBK" w:eastAsia="方正仿宋_GBK" w:cs="方正仿宋_GBK"/>
          <w:sz w:val="32"/>
          <w:szCs w:val="32"/>
          <w:lang w:val="en-US" w:eastAsia="zh-CN"/>
        </w:rPr>
        <w:t>月24</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注意事项：</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报价单及相关附件必需密封并加盖公章，投递方式可</w:t>
      </w:r>
      <w:bookmarkStart w:id="0" w:name="_GoBack"/>
      <w:bookmarkEnd w:id="0"/>
      <w:r>
        <w:rPr>
          <w:rFonts w:hint="eastAsia" w:ascii="方正仿宋_GBK" w:hAnsi="方正仿宋_GBK" w:eastAsia="方正仿宋_GBK" w:cs="方正仿宋_GBK"/>
          <w:sz w:val="32"/>
          <w:szCs w:val="32"/>
        </w:rPr>
        <w:t>现场投递、邮寄均可。</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收件地址：陕西省渭南市中垦大道中垦华山牧乳业有限公司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联系人：李文15181833167；  田静静18502969868</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中垦华山牧乳业有限公司</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heme="majorEastAsia" w:hAnsiTheme="majorEastAsia" w:eastAsiaTheme="majorEastAsia" w:cstheme="majorEastAsia"/>
          <w:b/>
          <w:bCs/>
          <w:sz w:val="28"/>
          <w:szCs w:val="28"/>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2025年10月15日</w:t>
      </w:r>
    </w:p>
    <w:p>
      <w:pPr>
        <w:keepNext w:val="0"/>
        <w:keepLines w:val="0"/>
        <w:pageBreakBefore w:val="0"/>
        <w:kinsoku/>
        <w:wordWrap/>
        <w:overflowPunct/>
        <w:topLinePunct w:val="0"/>
        <w:autoSpaceDE/>
        <w:autoSpaceDN/>
        <w:bidi w:val="0"/>
        <w:adjustRightInd/>
        <w:snapToGrid/>
        <w:spacing w:line="560" w:lineRule="exact"/>
        <w:jc w:val="both"/>
        <w:rPr>
          <w:rFonts w:hint="eastAsia" w:asciiTheme="majorEastAsia" w:hAnsiTheme="majorEastAsia" w:eastAsiaTheme="majorEastAsia" w:cstheme="majorEastAsia"/>
          <w:b/>
          <w:bCs/>
          <w:sz w:val="28"/>
          <w:szCs w:val="28"/>
        </w:rPr>
      </w:pPr>
    </w:p>
    <w:p>
      <w:pPr>
        <w:keepNext w:val="0"/>
        <w:keepLines w:val="0"/>
        <w:pageBreakBefore w:val="0"/>
        <w:kinsoku/>
        <w:wordWrap/>
        <w:overflowPunct/>
        <w:topLinePunct w:val="0"/>
        <w:autoSpaceDE/>
        <w:autoSpaceDN/>
        <w:bidi w:val="0"/>
        <w:adjustRightInd/>
        <w:snapToGrid/>
        <w:spacing w:line="560" w:lineRule="exact"/>
        <w:jc w:val="both"/>
        <w:rPr>
          <w:rFonts w:hint="eastAsia" w:asciiTheme="majorEastAsia" w:hAnsiTheme="majorEastAsia" w:eastAsiaTheme="majorEastAsia" w:cstheme="majorEastAsia"/>
          <w:b/>
          <w:bCs/>
          <w:sz w:val="28"/>
          <w:szCs w:val="28"/>
        </w:rPr>
      </w:pPr>
    </w:p>
    <w:p>
      <w:pPr>
        <w:keepNext w:val="0"/>
        <w:keepLines w:val="0"/>
        <w:pageBreakBefore w:val="0"/>
        <w:kinsoku/>
        <w:wordWrap/>
        <w:overflowPunct/>
        <w:topLinePunct w:val="0"/>
        <w:autoSpaceDE/>
        <w:autoSpaceDN/>
        <w:bidi w:val="0"/>
        <w:adjustRightInd/>
        <w:snapToGrid/>
        <w:spacing w:line="560" w:lineRule="exact"/>
        <w:jc w:val="both"/>
        <w:rPr>
          <w:rFonts w:hint="eastAsia" w:asciiTheme="majorEastAsia" w:hAnsiTheme="majorEastAsia" w:eastAsiaTheme="majorEastAsia" w:cstheme="majorEastAsia"/>
          <w:b/>
          <w:bCs/>
          <w:sz w:val="28"/>
          <w:szCs w:val="28"/>
        </w:rPr>
      </w:pPr>
    </w:p>
    <w:p>
      <w:pPr>
        <w:keepNext w:val="0"/>
        <w:keepLines w:val="0"/>
        <w:pageBreakBefore w:val="0"/>
        <w:kinsoku/>
        <w:wordWrap/>
        <w:overflowPunct/>
        <w:topLinePunct w:val="0"/>
        <w:autoSpaceDE/>
        <w:autoSpaceDN/>
        <w:bidi w:val="0"/>
        <w:adjustRightInd/>
        <w:snapToGrid/>
        <w:spacing w:line="560" w:lineRule="exact"/>
        <w:jc w:val="both"/>
        <w:rPr>
          <w:rFonts w:hint="eastAsia" w:asciiTheme="majorEastAsia" w:hAnsiTheme="majorEastAsia" w:eastAsiaTheme="majorEastAsia" w:cstheme="majorEastAsia"/>
          <w:b/>
          <w:bCs/>
          <w:sz w:val="28"/>
          <w:szCs w:val="28"/>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库房租赁比选文件</w:t>
      </w:r>
    </w:p>
    <w:p>
      <w:pPr>
        <w:pStyle w:val="2"/>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left="840" w:hanging="840" w:hangingChars="300"/>
        <w:jc w:val="both"/>
        <w:rPr>
          <w:rStyle w:val="11"/>
          <w:rFonts w:hint="eastAsia" w:ascii="方正黑体_GBK" w:hAnsi="方正黑体_GBK" w:eastAsia="方正黑体_GBK" w:cs="方正黑体_GBK"/>
          <w:b w:val="0"/>
          <w:bCs/>
          <w:sz w:val="28"/>
          <w:szCs w:val="28"/>
        </w:rPr>
      </w:pPr>
      <w:r>
        <w:rPr>
          <w:rStyle w:val="11"/>
          <w:rFonts w:hint="eastAsia" w:ascii="方正黑体_GBK" w:hAnsi="方正黑体_GBK" w:eastAsia="方正黑体_GBK" w:cs="方正黑体_GBK"/>
          <w:b w:val="0"/>
          <w:bCs/>
          <w:sz w:val="28"/>
          <w:szCs w:val="28"/>
        </w:rPr>
        <w:t>项目概况</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630" w:leftChars="-300" w:firstLine="840" w:firstLineChars="300"/>
        <w:jc w:val="both"/>
        <w:rPr>
          <w:rFonts w:hint="default" w:asciiTheme="minorEastAsia" w:hAnsiTheme="minorEastAsia" w:eastAsiaTheme="minorEastAsia" w:cstheme="minorEastAsia"/>
          <w:b w:val="0"/>
          <w:bCs/>
          <w:sz w:val="28"/>
          <w:szCs w:val="28"/>
        </w:rPr>
      </w:pPr>
      <w:r>
        <w:rPr>
          <w:rFonts w:asciiTheme="minorEastAsia" w:hAnsiTheme="minorEastAsia" w:eastAsiaTheme="minorEastAsia" w:cstheme="minorEastAsia"/>
          <w:b w:val="0"/>
          <w:bCs/>
          <w:sz w:val="28"/>
          <w:szCs w:val="28"/>
        </w:rPr>
        <w:t>我公司随着经营规模的不断扩大，导致库存压力较大，为了保障公司产品存放及质量要求，现需距我司10公里内的外租常温产品仓储库房一处，库容为3700平方左右，需租赁符合GB 14881-2013《食品安全国家标准》的专业库房，配套装卸、运输及仓储管理服务。</w:t>
      </w:r>
    </w:p>
    <w:p>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left="840" w:leftChars="0" w:hanging="840" w:hangingChars="300"/>
        <w:jc w:val="both"/>
        <w:rPr>
          <w:rStyle w:val="11"/>
          <w:rFonts w:hint="eastAsia" w:ascii="方正黑体_GBK" w:hAnsi="方正黑体_GBK" w:eastAsia="方正黑体_GBK" w:cs="方正黑体_GBK"/>
          <w:b w:val="0"/>
          <w:bCs/>
          <w:sz w:val="28"/>
          <w:szCs w:val="28"/>
        </w:rPr>
      </w:pPr>
      <w:r>
        <w:rPr>
          <w:rStyle w:val="11"/>
          <w:rFonts w:hint="eastAsia" w:ascii="方正黑体_GBK" w:hAnsi="方正黑体_GBK" w:eastAsia="方正黑体_GBK" w:cs="方正黑体_GBK"/>
          <w:b w:val="0"/>
          <w:bCs/>
          <w:sz w:val="28"/>
          <w:szCs w:val="28"/>
        </w:rPr>
        <w:t>服务范围</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300" w:firstLine="560" w:firstLineChars="200"/>
        <w:jc w:val="both"/>
        <w:textAlignment w:val="auto"/>
        <w:rPr>
          <w:rFonts w:asciiTheme="minorEastAsia" w:hAnsiTheme="minorEastAsia" w:cstheme="minorEastAsia"/>
          <w:bCs/>
          <w:sz w:val="28"/>
          <w:szCs w:val="28"/>
        </w:rPr>
      </w:pPr>
      <w:r>
        <w:rPr>
          <w:rFonts w:hint="eastAsia" w:asciiTheme="minorEastAsia" w:hAnsiTheme="minorEastAsia" w:cstheme="minorEastAsia"/>
          <w:bCs/>
          <w:sz w:val="28"/>
          <w:szCs w:val="28"/>
        </w:rPr>
        <w:t>库房租赁：需提供≥3700㎡的合规库房，配备四防（防鼠、防蝇、防盗、防火）设施及24小时监控系统。</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jc w:val="both"/>
        <w:rPr>
          <w:rFonts w:asciiTheme="minorEastAsia" w:hAnsiTheme="minorEastAsia" w:cstheme="minorEastAsia"/>
          <w:bCs/>
          <w:sz w:val="28"/>
          <w:szCs w:val="28"/>
        </w:rPr>
      </w:pPr>
      <w:r>
        <w:rPr>
          <w:rFonts w:hint="eastAsia" w:asciiTheme="minorEastAsia" w:hAnsiTheme="minorEastAsia" w:cstheme="minorEastAsia"/>
          <w:bCs/>
          <w:sz w:val="28"/>
          <w:szCs w:val="28"/>
        </w:rPr>
        <w:t>装卸服务：需配备装卸人员，确保雨雪天气正常作业。</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jc w:val="both"/>
        <w:rPr>
          <w:rFonts w:asciiTheme="minorEastAsia" w:hAnsiTheme="minorEastAsia" w:cstheme="minorEastAsia"/>
          <w:bCs/>
          <w:sz w:val="28"/>
          <w:szCs w:val="28"/>
        </w:rPr>
      </w:pPr>
      <w:r>
        <w:rPr>
          <w:rFonts w:hint="eastAsia" w:asciiTheme="minorEastAsia" w:hAnsiTheme="minorEastAsia" w:cstheme="minorEastAsia"/>
          <w:bCs/>
          <w:sz w:val="28"/>
          <w:szCs w:val="28"/>
        </w:rPr>
        <w:t>库房管理服务：需配备库管人员，确保库存物资</w:t>
      </w:r>
      <w:r>
        <w:rPr>
          <w:rFonts w:hint="eastAsia" w:asciiTheme="minorEastAsia" w:hAnsiTheme="minorEastAsia" w:cstheme="minorEastAsia"/>
          <w:bCs/>
          <w:sz w:val="28"/>
          <w:szCs w:val="28"/>
          <w:lang w:val="en-US" w:eastAsia="zh-CN"/>
        </w:rPr>
        <w:t>24小时能够</w:t>
      </w:r>
      <w:r>
        <w:rPr>
          <w:rFonts w:hint="eastAsia" w:asciiTheme="minorEastAsia" w:hAnsiTheme="minorEastAsia" w:cstheme="minorEastAsia"/>
          <w:bCs/>
          <w:sz w:val="28"/>
          <w:szCs w:val="28"/>
        </w:rPr>
        <w:t>出入库等日常管理。</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jc w:val="both"/>
        <w:rPr>
          <w:rFonts w:asciiTheme="minorEastAsia" w:hAnsiTheme="minorEastAsia" w:cstheme="minorEastAsia"/>
          <w:bCs/>
          <w:sz w:val="28"/>
          <w:szCs w:val="28"/>
        </w:rPr>
      </w:pPr>
      <w:r>
        <w:rPr>
          <w:rFonts w:hint="eastAsia" w:asciiTheme="minorEastAsia" w:hAnsiTheme="minorEastAsia" w:cstheme="minorEastAsia"/>
          <w:bCs/>
          <w:sz w:val="28"/>
          <w:szCs w:val="28"/>
        </w:rPr>
        <w:t>运输服务：库房至工厂</w:t>
      </w:r>
      <w:r>
        <w:rPr>
          <w:rFonts w:hint="eastAsia" w:asciiTheme="minorEastAsia" w:hAnsiTheme="minorEastAsia" w:cstheme="minorEastAsia"/>
          <w:bCs/>
          <w:sz w:val="28"/>
          <w:szCs w:val="28"/>
          <w:lang w:val="en-US" w:eastAsia="zh-CN"/>
        </w:rPr>
        <w:t>之</w:t>
      </w:r>
      <w:r>
        <w:rPr>
          <w:rFonts w:hint="eastAsia" w:asciiTheme="minorEastAsia" w:hAnsiTheme="minorEastAsia" w:cstheme="minorEastAsia"/>
          <w:bCs/>
          <w:sz w:val="28"/>
          <w:szCs w:val="28"/>
        </w:rPr>
        <w:t>间每日转运。</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both"/>
        <w:rPr>
          <w:rFonts w:hint="eastAsia" w:ascii="方正黑体_GBK" w:hAnsi="方正黑体_GBK" w:eastAsia="方正黑体_GBK" w:cs="方正黑体_GBK"/>
          <w:b w:val="0"/>
          <w:bCs/>
          <w:sz w:val="28"/>
          <w:szCs w:val="28"/>
        </w:rPr>
      </w:pPr>
      <w:r>
        <w:rPr>
          <w:rStyle w:val="11"/>
          <w:rFonts w:hint="eastAsia" w:ascii="方正黑体_GBK" w:hAnsi="方正黑体_GBK" w:eastAsia="方正黑体_GBK" w:cs="方正黑体_GBK"/>
          <w:b w:val="0"/>
          <w:bCs/>
          <w:sz w:val="28"/>
          <w:szCs w:val="28"/>
        </w:rPr>
        <w:t>三、资格要求</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jc w:val="both"/>
        <w:rPr>
          <w:rFonts w:asciiTheme="minorEastAsia" w:hAnsiTheme="minorEastAsia" w:cstheme="minorEastAsia"/>
          <w:bCs/>
          <w:sz w:val="28"/>
          <w:szCs w:val="28"/>
        </w:rPr>
      </w:pPr>
      <w:r>
        <w:rPr>
          <w:rStyle w:val="11"/>
          <w:rFonts w:hint="eastAsia" w:asciiTheme="minorEastAsia" w:hAnsiTheme="minorEastAsia" w:cstheme="minorEastAsia"/>
          <w:b w:val="0"/>
          <w:bCs/>
          <w:sz w:val="28"/>
          <w:szCs w:val="28"/>
        </w:rPr>
        <w:t>基本资质：</w:t>
      </w:r>
      <w:r>
        <w:rPr>
          <w:rFonts w:hint="eastAsia" w:asciiTheme="minorEastAsia" w:hAnsiTheme="minorEastAsia" w:cstheme="minorEastAsia"/>
          <w:bCs/>
          <w:sz w:val="28"/>
          <w:szCs w:val="28"/>
        </w:rPr>
        <w:t>独立法人、一般纳税人资格，可开具增值税专用发票。</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jc w:val="both"/>
        <w:rPr>
          <w:rFonts w:asciiTheme="minorEastAsia" w:hAnsiTheme="minorEastAsia" w:cstheme="minorEastAsia"/>
          <w:bCs/>
          <w:sz w:val="28"/>
          <w:szCs w:val="28"/>
        </w:rPr>
      </w:pPr>
      <w:r>
        <w:rPr>
          <w:rStyle w:val="11"/>
          <w:rFonts w:hint="eastAsia" w:asciiTheme="minorEastAsia" w:hAnsiTheme="minorEastAsia" w:cstheme="minorEastAsia"/>
          <w:b w:val="0"/>
          <w:bCs/>
          <w:sz w:val="28"/>
          <w:szCs w:val="28"/>
        </w:rPr>
        <w:t>信用审查：</w:t>
      </w:r>
      <w:r>
        <w:rPr>
          <w:rFonts w:hint="eastAsia" w:asciiTheme="minorEastAsia" w:hAnsiTheme="minorEastAsia" w:cstheme="minorEastAsia"/>
          <w:bCs/>
          <w:sz w:val="28"/>
          <w:szCs w:val="28"/>
        </w:rPr>
        <w:t>未被列入“信用中国”或国家企业信用信息公示系统黑名单。</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both"/>
        <w:rPr>
          <w:rFonts w:asciiTheme="minorEastAsia" w:hAnsiTheme="minorEastAsia" w:cstheme="minorEastAsia"/>
          <w:bCs/>
          <w:sz w:val="28"/>
          <w:szCs w:val="28"/>
        </w:rPr>
      </w:pPr>
      <w:r>
        <w:rPr>
          <w:rStyle w:val="11"/>
          <w:rFonts w:hint="eastAsia" w:ascii="方正黑体_GBK" w:hAnsi="方正黑体_GBK" w:eastAsia="方正黑体_GBK" w:cs="方正黑体_GBK"/>
          <w:b w:val="0"/>
          <w:bCs/>
          <w:sz w:val="28"/>
          <w:szCs w:val="28"/>
        </w:rPr>
        <w:t>四、</w:t>
      </w:r>
      <w:r>
        <w:rPr>
          <w:rStyle w:val="11"/>
          <w:rFonts w:hint="eastAsia" w:ascii="方正黑体_GBK" w:hAnsi="方正黑体_GBK" w:eastAsia="方正黑体_GBK" w:cs="方正黑体_GBK"/>
          <w:b w:val="0"/>
          <w:bCs/>
          <w:sz w:val="28"/>
          <w:szCs w:val="28"/>
          <w:lang w:val="en-US" w:eastAsia="zh-CN"/>
        </w:rPr>
        <w:t>投标文件</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jc w:val="both"/>
        <w:rPr>
          <w:rFonts w:asciiTheme="minorEastAsia" w:hAnsiTheme="minorEastAsia" w:cstheme="minorEastAsia"/>
          <w:bCs/>
          <w:sz w:val="28"/>
          <w:szCs w:val="28"/>
        </w:rPr>
      </w:pPr>
      <w:r>
        <w:rPr>
          <w:rFonts w:hint="eastAsia" w:asciiTheme="minorEastAsia" w:hAnsiTheme="minorEastAsia" w:cstheme="minorEastAsia"/>
          <w:bCs/>
          <w:sz w:val="28"/>
          <w:szCs w:val="28"/>
        </w:rPr>
        <w:t>营业执照、法人授权书、类似项目合同、仓库产权/租赁证明、中垦华山牧乳业有限公司距离需高德地图定位截图。</w:t>
      </w:r>
    </w:p>
    <w:p>
      <w:pPr>
        <w:pStyle w:val="7"/>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jc w:val="both"/>
        <w:rPr>
          <w:rStyle w:val="11"/>
          <w:rFonts w:hint="eastAsia" w:ascii="方正黑体_GBK" w:hAnsi="方正黑体_GBK" w:eastAsia="方正黑体_GBK" w:cs="方正黑体_GBK"/>
          <w:b w:val="0"/>
          <w:bCs/>
          <w:sz w:val="28"/>
          <w:szCs w:val="28"/>
        </w:rPr>
      </w:pPr>
      <w:r>
        <w:rPr>
          <w:rStyle w:val="11"/>
          <w:rFonts w:hint="eastAsia" w:ascii="方正黑体_GBK" w:hAnsi="方正黑体_GBK" w:eastAsia="方正黑体_GBK" w:cs="方正黑体_GBK"/>
          <w:b w:val="0"/>
          <w:bCs/>
          <w:sz w:val="28"/>
          <w:szCs w:val="28"/>
        </w:rPr>
        <w:t>评分规则：</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both"/>
        <w:rPr>
          <w:rFonts w:asciiTheme="minorEastAsia" w:hAnsiTheme="minorEastAsia" w:cstheme="minorEastAsia"/>
          <w:bCs/>
          <w:sz w:val="28"/>
          <w:szCs w:val="28"/>
        </w:rPr>
      </w:pPr>
      <w:r>
        <w:rPr>
          <w:rStyle w:val="11"/>
          <w:rFonts w:hint="eastAsia" w:asciiTheme="minorEastAsia" w:hAnsiTheme="minorEastAsia" w:cstheme="minorEastAsia"/>
          <w:b w:val="0"/>
          <w:bCs/>
          <w:sz w:val="28"/>
          <w:szCs w:val="28"/>
        </w:rPr>
        <w:t>评审标准：</w:t>
      </w:r>
      <w:r>
        <w:rPr>
          <w:rFonts w:hint="eastAsia" w:asciiTheme="minorEastAsia" w:hAnsiTheme="minorEastAsia" w:cstheme="minorEastAsia"/>
          <w:bCs/>
          <w:sz w:val="28"/>
          <w:szCs w:val="28"/>
        </w:rPr>
        <w:t>报价（60%）、基础设施（30%）、服务响应（10%）。</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jc w:val="both"/>
        <w:rPr>
          <w:rStyle w:val="11"/>
          <w:rFonts w:asciiTheme="minorEastAsia" w:hAnsiTheme="minorEastAsia" w:eastAsiaTheme="minorEastAsia" w:cstheme="minorEastAsia"/>
          <w:b w:val="0"/>
          <w:bCs/>
          <w:sz w:val="28"/>
          <w:szCs w:val="28"/>
        </w:rPr>
      </w:pPr>
      <w:r>
        <w:rPr>
          <w:rFonts w:hint="eastAsia" w:asciiTheme="minorEastAsia" w:hAnsiTheme="minorEastAsia" w:cstheme="minorEastAsia"/>
          <w:bCs/>
          <w:sz w:val="28"/>
          <w:szCs w:val="28"/>
        </w:rPr>
        <w:t>禁止联合投标或分包。</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both"/>
        <w:rPr>
          <w:rStyle w:val="11"/>
          <w:rFonts w:hint="default" w:asciiTheme="minorEastAsia" w:hAnsiTheme="minorEastAsia" w:eastAsiaTheme="minorEastAsia" w:cstheme="minorEastAsia"/>
          <w:b w:val="0"/>
          <w:bCs/>
          <w:sz w:val="28"/>
          <w:szCs w:val="28"/>
        </w:rPr>
      </w:pPr>
    </w:p>
    <w:p>
      <w:pPr>
        <w:rPr>
          <w:rFonts w:hint="default"/>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2455"/>
        <w:gridCol w:w="1113"/>
        <w:gridCol w:w="1004"/>
        <w:gridCol w:w="1440"/>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68" w:type="dxa"/>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pPr>
            <w:r>
              <w:rPr>
                <w:rFonts w:hint="eastAsia"/>
              </w:rPr>
              <w:t>项 目</w:t>
            </w:r>
          </w:p>
        </w:tc>
        <w:tc>
          <w:tcPr>
            <w:tcW w:w="2455" w:type="dxa"/>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pPr>
            <w:r>
              <w:rPr>
                <w:rFonts w:hint="eastAsia"/>
              </w:rPr>
              <w:t>评分参考标准</w:t>
            </w:r>
          </w:p>
        </w:tc>
        <w:tc>
          <w:tcPr>
            <w:tcW w:w="1113"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c>
          <w:tcPr>
            <w:tcW w:w="1004"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c>
          <w:tcPr>
            <w:tcW w:w="1440"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c>
          <w:tcPr>
            <w:tcW w:w="1342"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rPr>
              <w:t>报价得分60分</w:t>
            </w:r>
          </w:p>
        </w:tc>
        <w:tc>
          <w:tcPr>
            <w:tcW w:w="2455"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Theme="minorEastAsia"/>
                <w:lang w:eastAsia="zh-CN"/>
              </w:rPr>
            </w:pPr>
            <w:r>
              <w:rPr>
                <w:rFonts w:hint="eastAsia"/>
              </w:rPr>
              <w:t>所有报价</w:t>
            </w:r>
            <w:r>
              <w:rPr>
                <w:rFonts w:hint="eastAsia"/>
                <w:lang w:val="en-US" w:eastAsia="zh-CN"/>
              </w:rPr>
              <w:t>折合后按照</w:t>
            </w:r>
            <w:r>
              <w:rPr>
                <w:rFonts w:hint="eastAsia"/>
              </w:rPr>
              <w:t>平方</w:t>
            </w:r>
            <w:r>
              <w:rPr>
                <w:rFonts w:hint="eastAsia"/>
                <w:lang w:val="en-US" w:eastAsia="zh-CN"/>
              </w:rPr>
              <w:t>米/元/</w:t>
            </w:r>
            <w:r>
              <w:rPr>
                <w:rFonts w:hint="eastAsia"/>
              </w:rPr>
              <w:t>月单价报价</w:t>
            </w:r>
            <w:r>
              <w:rPr>
                <w:rFonts w:hint="eastAsia"/>
                <w:lang w:eastAsia="zh-CN"/>
              </w:rPr>
              <w:t>，</w:t>
            </w:r>
            <w:r>
              <w:rPr>
                <w:rFonts w:hint="eastAsia"/>
              </w:rPr>
              <w:t>最低</w:t>
            </w:r>
            <w:r>
              <w:rPr>
                <w:rFonts w:hint="eastAsia"/>
                <w:lang w:val="en-US" w:eastAsia="zh-CN"/>
              </w:rPr>
              <w:t>价</w:t>
            </w:r>
            <w:r>
              <w:rPr>
                <w:rFonts w:hint="eastAsia"/>
              </w:rPr>
              <w:t>满分（每高一元</w:t>
            </w:r>
            <w:r>
              <w:rPr>
                <w:rFonts w:hint="eastAsia"/>
                <w:lang w:val="en-US" w:eastAsia="zh-CN"/>
              </w:rPr>
              <w:t>减</w:t>
            </w:r>
            <w:r>
              <w:rPr>
                <w:rFonts w:hint="eastAsia"/>
              </w:rPr>
              <w:t>1分）</w:t>
            </w:r>
            <w:r>
              <w:rPr>
                <w:rFonts w:hint="eastAsia"/>
                <w:lang w:eastAsia="zh-CN"/>
              </w:rPr>
              <w:t>。</w:t>
            </w:r>
          </w:p>
        </w:tc>
        <w:tc>
          <w:tcPr>
            <w:tcW w:w="1113"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c>
          <w:tcPr>
            <w:tcW w:w="1004"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c>
          <w:tcPr>
            <w:tcW w:w="1440"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c>
          <w:tcPr>
            <w:tcW w:w="1342"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rPr>
              <w:t>基础设施30分</w:t>
            </w:r>
          </w:p>
        </w:tc>
        <w:tc>
          <w:tcPr>
            <w:tcW w:w="2455" w:type="dxa"/>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both"/>
              <w:textAlignment w:val="auto"/>
              <w:rPr>
                <w:rFonts w:hint="eastAsia"/>
              </w:rPr>
            </w:pPr>
            <w:r>
              <w:rPr>
                <w:rFonts w:hint="eastAsia"/>
              </w:rPr>
              <w:t>库房周边环境（满分10分）</w:t>
            </w:r>
            <w:r>
              <w:rPr>
                <w:rFonts w:hint="eastAsia"/>
                <w:lang w:val="en-US" w:eastAsia="zh-CN"/>
              </w:rPr>
              <w:t>不符合要求0分。</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rPr>
            </w:pPr>
            <w:r>
              <w:rPr>
                <w:rFonts w:hint="eastAsia"/>
              </w:rPr>
              <w:t>库房防雨保温等设施（满分10分）</w:t>
            </w:r>
            <w:r>
              <w:rPr>
                <w:rFonts w:hint="eastAsia"/>
                <w:lang w:val="en-US" w:eastAsia="zh-CN"/>
              </w:rPr>
              <w:t>设施不完善得0分。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eastAsiaTheme="minorEastAsia"/>
                <w:lang w:val="en-US" w:eastAsia="zh-CN"/>
              </w:rPr>
            </w:pPr>
            <w:r>
              <w:rPr>
                <w:rFonts w:hint="eastAsia"/>
              </w:rPr>
              <w:t>3、虫鼠害设施</w:t>
            </w:r>
            <w:r>
              <w:rPr>
                <w:rFonts w:hint="eastAsia"/>
                <w:lang w:val="en-US" w:eastAsia="zh-CN"/>
              </w:rPr>
              <w:t>配备齐全</w:t>
            </w:r>
            <w:r>
              <w:rPr>
                <w:rFonts w:hint="eastAsia"/>
              </w:rPr>
              <w:t>，24小时监控设施</w:t>
            </w:r>
            <w:r>
              <w:rPr>
                <w:rFonts w:hint="eastAsia"/>
                <w:lang w:val="en-US" w:eastAsia="zh-CN"/>
              </w:rPr>
              <w:t>完善</w:t>
            </w:r>
            <w:r>
              <w:rPr>
                <w:rFonts w:hint="eastAsia"/>
              </w:rPr>
              <w:t>（满分10分）</w:t>
            </w:r>
            <w:r>
              <w:rPr>
                <w:rFonts w:hint="eastAsia"/>
                <w:lang w:eastAsia="zh-CN"/>
              </w:rPr>
              <w:t>，</w:t>
            </w:r>
            <w:r>
              <w:rPr>
                <w:rFonts w:hint="eastAsia"/>
                <w:lang w:val="en-US" w:eastAsia="zh-CN"/>
              </w:rPr>
              <w:t>每缺一项扣2分，不配备得0分。</w:t>
            </w:r>
          </w:p>
        </w:tc>
        <w:tc>
          <w:tcPr>
            <w:tcW w:w="1113"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c>
          <w:tcPr>
            <w:tcW w:w="1004"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c>
          <w:tcPr>
            <w:tcW w:w="1440"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c>
          <w:tcPr>
            <w:tcW w:w="1342"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rPr>
              <w:t>服务响应10分</w:t>
            </w:r>
          </w:p>
        </w:tc>
        <w:tc>
          <w:tcPr>
            <w:tcW w:w="2455"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eastAsiaTheme="minorEastAsia"/>
                <w:lang w:val="en-US" w:eastAsia="zh-CN"/>
              </w:rPr>
            </w:pPr>
            <w:r>
              <w:rPr>
                <w:rFonts w:hint="eastAsia"/>
              </w:rPr>
              <w:t>按照服务承诺及响应内容描述</w:t>
            </w:r>
            <w:r>
              <w:rPr>
                <w:rFonts w:hint="eastAsia"/>
                <w:lang w:val="en-US" w:eastAsia="zh-CN"/>
              </w:rPr>
              <w:t>打分，未按要求响应得0分，每少一项减2分。</w:t>
            </w:r>
          </w:p>
        </w:tc>
        <w:tc>
          <w:tcPr>
            <w:tcW w:w="1113"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c>
          <w:tcPr>
            <w:tcW w:w="1004"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c>
          <w:tcPr>
            <w:tcW w:w="1440"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c>
          <w:tcPr>
            <w:tcW w:w="1342"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pPr>
            <w:r>
              <w:rPr>
                <w:rFonts w:hint="eastAsia"/>
              </w:rPr>
              <w:t>合 计</w:t>
            </w:r>
          </w:p>
        </w:tc>
        <w:tc>
          <w:tcPr>
            <w:tcW w:w="2455"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c>
          <w:tcPr>
            <w:tcW w:w="1113"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c>
          <w:tcPr>
            <w:tcW w:w="1004"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c>
          <w:tcPr>
            <w:tcW w:w="1440"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c>
          <w:tcPr>
            <w:tcW w:w="1342"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r>
    </w:tbl>
    <w:p>
      <w:pPr>
        <w:keepNext w:val="0"/>
        <w:keepLines w:val="0"/>
        <w:pageBreakBefore w:val="0"/>
        <w:kinsoku/>
        <w:wordWrap/>
        <w:overflowPunct/>
        <w:topLinePunct w:val="0"/>
        <w:autoSpaceDE/>
        <w:autoSpaceDN/>
        <w:bidi w:val="0"/>
        <w:adjustRightInd/>
        <w:snapToGrid/>
        <w:spacing w:line="560" w:lineRule="exact"/>
        <w:jc w:val="both"/>
      </w:pP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both"/>
        <w:rPr>
          <w:rFonts w:hint="eastAsia" w:ascii="方正黑体_GBK" w:hAnsi="方正黑体_GBK" w:eastAsia="方正黑体_GBK" w:cs="方正黑体_GBK"/>
          <w:b w:val="0"/>
          <w:bCs/>
          <w:sz w:val="28"/>
          <w:szCs w:val="28"/>
        </w:rPr>
      </w:pPr>
      <w:r>
        <w:rPr>
          <w:rStyle w:val="11"/>
          <w:rFonts w:hint="eastAsia" w:ascii="方正黑体_GBK" w:hAnsi="方正黑体_GBK" w:eastAsia="方正黑体_GBK" w:cs="方正黑体_GBK"/>
          <w:b w:val="0"/>
          <w:bCs/>
          <w:sz w:val="28"/>
          <w:szCs w:val="28"/>
        </w:rPr>
        <w:t>六、合同条款</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jc w:val="both"/>
        <w:rPr>
          <w:rFonts w:asciiTheme="minorEastAsia" w:hAnsiTheme="minorEastAsia" w:cstheme="minorEastAsia"/>
          <w:bCs/>
          <w:sz w:val="28"/>
          <w:szCs w:val="28"/>
        </w:rPr>
      </w:pPr>
      <w:r>
        <w:rPr>
          <w:rStyle w:val="11"/>
          <w:rFonts w:hint="eastAsia" w:asciiTheme="minorEastAsia" w:hAnsiTheme="minorEastAsia" w:cstheme="minorEastAsia"/>
          <w:b w:val="0"/>
          <w:bCs/>
          <w:sz w:val="28"/>
          <w:szCs w:val="28"/>
        </w:rPr>
        <w:t>服务期限</w:t>
      </w:r>
      <w:r>
        <w:rPr>
          <w:rFonts w:hint="eastAsia" w:asciiTheme="minorEastAsia" w:hAnsiTheme="minorEastAsia" w:cstheme="minorEastAsia"/>
          <w:bCs/>
          <w:sz w:val="28"/>
          <w:szCs w:val="28"/>
        </w:rPr>
        <w:t>：</w:t>
      </w:r>
      <w:r>
        <w:rPr>
          <w:rFonts w:hint="eastAsia" w:asciiTheme="minorEastAsia" w:hAnsiTheme="minorEastAsia" w:cstheme="minorEastAsia"/>
          <w:bCs/>
          <w:sz w:val="28"/>
          <w:szCs w:val="28"/>
          <w:lang w:val="en-US" w:eastAsia="zh-CN"/>
        </w:rPr>
        <w:t>1</w:t>
      </w:r>
      <w:r>
        <w:rPr>
          <w:rFonts w:hint="eastAsia" w:asciiTheme="minorEastAsia" w:hAnsiTheme="minorEastAsia" w:cstheme="minorEastAsia"/>
          <w:bCs/>
          <w:sz w:val="28"/>
          <w:szCs w:val="28"/>
        </w:rPr>
        <w:t>年，</w:t>
      </w:r>
      <w:r>
        <w:rPr>
          <w:rFonts w:hint="eastAsia" w:asciiTheme="minorEastAsia" w:hAnsiTheme="minorEastAsia" w:cstheme="minorEastAsia"/>
          <w:bCs/>
          <w:sz w:val="28"/>
          <w:szCs w:val="28"/>
          <w:lang w:val="en-US" w:eastAsia="zh-CN"/>
        </w:rPr>
        <w:t>合作期间无投诉或违约情况可</w:t>
      </w:r>
      <w:r>
        <w:rPr>
          <w:rFonts w:hint="eastAsia" w:asciiTheme="minorEastAsia" w:hAnsiTheme="minorEastAsia" w:cstheme="minorEastAsia"/>
          <w:bCs/>
          <w:sz w:val="28"/>
          <w:szCs w:val="28"/>
        </w:rPr>
        <w:t>续签</w:t>
      </w:r>
      <w:r>
        <w:rPr>
          <w:rFonts w:hint="eastAsia" w:asciiTheme="minorEastAsia" w:hAnsiTheme="minorEastAsia" w:cstheme="minorEastAsia"/>
          <w:bCs/>
          <w:sz w:val="28"/>
          <w:szCs w:val="28"/>
          <w:lang w:val="en-US" w:eastAsia="zh-CN"/>
        </w:rPr>
        <w:t>合同</w:t>
      </w:r>
      <w:r>
        <w:rPr>
          <w:rFonts w:hint="eastAsia" w:asciiTheme="minorEastAsia" w:hAnsiTheme="minorEastAsia" w:cstheme="minorEastAsia"/>
          <w:bCs/>
          <w:sz w:val="28"/>
          <w:szCs w:val="28"/>
        </w:rPr>
        <w:t>，按照当年市场行情确认租赁房屋单价（甲方询价协商定价、原则上不高于已签订合同单价）。</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jc w:val="both"/>
        <w:rPr>
          <w:rFonts w:asciiTheme="minorEastAsia" w:hAnsiTheme="minorEastAsia" w:cstheme="minorEastAsia"/>
          <w:bCs/>
          <w:sz w:val="28"/>
          <w:szCs w:val="28"/>
        </w:rPr>
      </w:pPr>
      <w:r>
        <w:rPr>
          <w:rStyle w:val="11"/>
          <w:rFonts w:hint="eastAsia" w:asciiTheme="minorEastAsia" w:hAnsiTheme="minorEastAsia" w:cstheme="minorEastAsia"/>
          <w:b w:val="0"/>
          <w:bCs/>
          <w:sz w:val="28"/>
          <w:szCs w:val="28"/>
        </w:rPr>
        <w:t>违约责任</w:t>
      </w:r>
      <w:r>
        <w:rPr>
          <w:rFonts w:hint="eastAsia" w:asciiTheme="minorEastAsia" w:hAnsiTheme="minorEastAsia" w:cstheme="minorEastAsia"/>
          <w:bCs/>
          <w:sz w:val="28"/>
          <w:szCs w:val="28"/>
        </w:rPr>
        <w:t>：转运及储存过程导致货物损毁需按货值出厂价赔偿。</w:t>
      </w:r>
    </w:p>
    <w:p>
      <w:pPr>
        <w:pStyle w:val="7"/>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jc w:val="both"/>
        <w:rPr>
          <w:rFonts w:hint="eastAsia"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报价截止日期</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jc w:val="both"/>
        <w:rPr>
          <w:rFonts w:asciiTheme="minorEastAsia" w:hAnsiTheme="minorEastAsia" w:cstheme="minorEastAsia"/>
          <w:bCs/>
          <w:sz w:val="28"/>
          <w:szCs w:val="28"/>
        </w:rPr>
      </w:pPr>
      <w:r>
        <w:rPr>
          <w:rFonts w:hint="eastAsia" w:asciiTheme="minorEastAsia" w:hAnsiTheme="minorEastAsia" w:cstheme="minorEastAsia"/>
          <w:bCs/>
          <w:sz w:val="28"/>
          <w:szCs w:val="28"/>
        </w:rPr>
        <w:t>2025年10月</w:t>
      </w:r>
      <w:r>
        <w:rPr>
          <w:rFonts w:hint="eastAsia" w:asciiTheme="minorEastAsia" w:hAnsiTheme="minorEastAsia" w:cstheme="minorEastAsia"/>
          <w:bCs/>
          <w:sz w:val="28"/>
          <w:szCs w:val="28"/>
          <w:lang w:val="en-US" w:eastAsia="zh-CN"/>
        </w:rPr>
        <w:t>24</w:t>
      </w:r>
      <w:r>
        <w:rPr>
          <w:rFonts w:hint="eastAsia" w:asciiTheme="minorEastAsia" w:hAnsiTheme="minorEastAsia" w:cstheme="minorEastAsia"/>
          <w:bCs/>
          <w:sz w:val="28"/>
          <w:szCs w:val="28"/>
        </w:rPr>
        <w:t>日</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jc w:val="both"/>
        <w:rPr>
          <w:rFonts w:hint="eastAsia"/>
        </w:rPr>
      </w:pPr>
      <w:r>
        <w:rPr>
          <w:rStyle w:val="11"/>
          <w:rFonts w:hint="eastAsia" w:asciiTheme="minorEastAsia" w:hAnsiTheme="minorEastAsia" w:cstheme="minorEastAsia"/>
          <w:b w:val="0"/>
          <w:bCs/>
          <w:sz w:val="28"/>
          <w:szCs w:val="28"/>
        </w:rPr>
        <w:t>保密条款</w:t>
      </w:r>
      <w:r>
        <w:rPr>
          <w:rFonts w:hint="eastAsia" w:asciiTheme="minorEastAsia" w:hAnsiTheme="minorEastAsia" w:cstheme="minorEastAsia"/>
          <w:bCs/>
          <w:sz w:val="28"/>
          <w:szCs w:val="28"/>
        </w:rPr>
        <w:t>：签署保密协议，禁止泄露客户数据。</w:t>
      </w:r>
    </w:p>
    <w:p>
      <w:pPr>
        <w:keepNext w:val="0"/>
        <w:keepLines w:val="0"/>
        <w:pageBreakBefore w:val="0"/>
        <w:kinsoku/>
        <w:wordWrap/>
        <w:overflowPunct/>
        <w:topLinePunct w:val="0"/>
        <w:autoSpaceDE/>
        <w:autoSpaceDN/>
        <w:bidi w:val="0"/>
        <w:adjustRightInd/>
        <w:snapToGrid/>
        <w:spacing w:line="560" w:lineRule="exact"/>
        <w:jc w:val="both"/>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附件：1报价表：</w:t>
      </w:r>
    </w:p>
    <w:p>
      <w:pPr>
        <w:keepNext w:val="0"/>
        <w:keepLines w:val="0"/>
        <w:pageBreakBefore w:val="0"/>
        <w:kinsoku/>
        <w:wordWrap/>
        <w:overflowPunct/>
        <w:topLinePunct w:val="0"/>
        <w:autoSpaceDE/>
        <w:autoSpaceDN/>
        <w:bidi w:val="0"/>
        <w:adjustRightInd/>
        <w:snapToGrid/>
        <w:spacing w:line="560" w:lineRule="exact"/>
        <w:jc w:val="both"/>
      </w:pPr>
    </w:p>
    <w:tbl>
      <w:tblPr>
        <w:tblStyle w:val="8"/>
        <w:tblW w:w="8970" w:type="dxa"/>
        <w:tblInd w:w="-414" w:type="dxa"/>
        <w:tblLayout w:type="fixed"/>
        <w:tblCellMar>
          <w:top w:w="0" w:type="dxa"/>
          <w:left w:w="0" w:type="dxa"/>
          <w:bottom w:w="0" w:type="dxa"/>
          <w:right w:w="0" w:type="dxa"/>
        </w:tblCellMar>
      </w:tblPr>
      <w:tblGrid>
        <w:gridCol w:w="404"/>
        <w:gridCol w:w="1475"/>
        <w:gridCol w:w="1530"/>
        <w:gridCol w:w="1410"/>
        <w:gridCol w:w="1380"/>
        <w:gridCol w:w="1560"/>
        <w:gridCol w:w="1211"/>
      </w:tblGrid>
      <w:tr>
        <w:tblPrEx>
          <w:tblCellMar>
            <w:top w:w="0" w:type="dxa"/>
            <w:left w:w="0" w:type="dxa"/>
            <w:bottom w:w="0" w:type="dxa"/>
            <w:right w:w="0" w:type="dxa"/>
          </w:tblCellMar>
        </w:tblPrEx>
        <w:trPr>
          <w:trHeight w:val="514" w:hRule="atLeast"/>
        </w:trPr>
        <w:tc>
          <w:tcPr>
            <w:tcW w:w="8970" w:type="dxa"/>
            <w:gridSpan w:val="7"/>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中垦华山牧乳业有限公司承租库房报价表</w:t>
            </w:r>
          </w:p>
        </w:tc>
      </w:tr>
      <w:tr>
        <w:tblPrEx>
          <w:tblCellMar>
            <w:top w:w="0" w:type="dxa"/>
            <w:left w:w="0" w:type="dxa"/>
            <w:bottom w:w="0" w:type="dxa"/>
            <w:right w:w="0" w:type="dxa"/>
          </w:tblCellMar>
        </w:tblPrEx>
        <w:trPr>
          <w:trHeight w:val="924" w:hRule="atLeast"/>
        </w:trPr>
        <w:tc>
          <w:tcPr>
            <w:tcW w:w="404"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序号</w:t>
            </w:r>
          </w:p>
        </w:tc>
        <w:tc>
          <w:tcPr>
            <w:tcW w:w="1475"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报价单位名称</w:t>
            </w:r>
          </w:p>
        </w:tc>
        <w:tc>
          <w:tcPr>
            <w:tcW w:w="1530"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库房详细地址</w:t>
            </w:r>
          </w:p>
        </w:tc>
        <w:tc>
          <w:tcPr>
            <w:tcW w:w="141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color w:val="000000"/>
                <w:sz w:val="24"/>
                <w:szCs w:val="24"/>
              </w:rPr>
            </w:pPr>
            <w:r>
              <w:rPr>
                <w:rStyle w:val="13"/>
                <w:rFonts w:hint="eastAsia" w:asciiTheme="minorEastAsia" w:hAnsiTheme="minorEastAsia" w:eastAsiaTheme="minorEastAsia" w:cstheme="minorEastAsia"/>
                <w:sz w:val="24"/>
                <w:szCs w:val="24"/>
                <w:lang w:bidi="ar"/>
              </w:rPr>
              <w:t>面积（</w:t>
            </w:r>
            <w:r>
              <w:rPr>
                <w:rStyle w:val="14"/>
                <w:rFonts w:hint="eastAsia" w:asciiTheme="minorEastAsia" w:hAnsiTheme="minorEastAsia" w:eastAsiaTheme="minorEastAsia" w:cstheme="minorEastAsia"/>
                <w:sz w:val="24"/>
                <w:szCs w:val="24"/>
                <w:lang w:bidi="ar"/>
              </w:rPr>
              <w:t>㎡</w:t>
            </w:r>
            <w:r>
              <w:rPr>
                <w:rStyle w:val="13"/>
                <w:rFonts w:hint="eastAsia" w:asciiTheme="minorEastAsia" w:hAnsiTheme="minorEastAsia" w:eastAsiaTheme="minorEastAsia" w:cstheme="minorEastAsia"/>
                <w:sz w:val="24"/>
                <w:szCs w:val="24"/>
                <w:lang w:bidi="ar"/>
              </w:rPr>
              <w:t>)</w:t>
            </w:r>
          </w:p>
        </w:tc>
        <w:tc>
          <w:tcPr>
            <w:tcW w:w="138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单价（元）</w:t>
            </w:r>
          </w:p>
        </w:tc>
        <w:tc>
          <w:tcPr>
            <w:tcW w:w="1560"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付款方式</w:t>
            </w:r>
          </w:p>
        </w:tc>
        <w:tc>
          <w:tcPr>
            <w:tcW w:w="1211"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税率</w:t>
            </w:r>
          </w:p>
        </w:tc>
      </w:tr>
      <w:tr>
        <w:tblPrEx>
          <w:tblCellMar>
            <w:top w:w="0" w:type="dxa"/>
            <w:left w:w="0" w:type="dxa"/>
            <w:bottom w:w="0" w:type="dxa"/>
            <w:right w:w="0" w:type="dxa"/>
          </w:tblCellMar>
        </w:tblPrEx>
        <w:trPr>
          <w:trHeight w:val="446"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color w:val="000000"/>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color w:val="000000"/>
                <w:sz w:val="24"/>
                <w:szCs w:val="24"/>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color w:val="000000"/>
                <w:sz w:val="24"/>
                <w:szCs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color w:val="000000"/>
                <w:sz w:val="24"/>
                <w:szCs w:val="24"/>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1657"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c>
          <w:tcPr>
            <w:tcW w:w="8566"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Theme="minorEastAsia" w:hAnsiTheme="minorEastAsia" w:eastAsiaTheme="minorEastAsia" w:cstheme="minorEastAsia"/>
                <w:color w:val="000000"/>
                <w:sz w:val="24"/>
                <w:szCs w:val="24"/>
              </w:rPr>
            </w:pPr>
            <w:r>
              <w:rPr>
                <w:rStyle w:val="15"/>
                <w:rFonts w:hint="eastAsia" w:asciiTheme="minorEastAsia" w:hAnsiTheme="minorEastAsia" w:eastAsiaTheme="minorEastAsia" w:cstheme="minorEastAsia"/>
                <w:sz w:val="24"/>
                <w:szCs w:val="24"/>
                <w:lang w:bidi="ar"/>
              </w:rPr>
              <w:t>备注：                                                                                                               1、以上报价含</w:t>
            </w:r>
            <w:r>
              <w:rPr>
                <w:rStyle w:val="15"/>
                <w:rFonts w:hint="eastAsia" w:asciiTheme="minorEastAsia" w:hAnsiTheme="minorEastAsia" w:eastAsiaTheme="minorEastAsia" w:cstheme="minorEastAsia"/>
                <w:sz w:val="24"/>
                <w:szCs w:val="24"/>
                <w:u w:val="single"/>
                <w:lang w:bidi="ar"/>
              </w:rPr>
              <w:t xml:space="preserve">     </w:t>
            </w:r>
            <w:r>
              <w:rPr>
                <w:rStyle w:val="15"/>
                <w:rFonts w:hint="eastAsia" w:asciiTheme="minorEastAsia" w:hAnsiTheme="minorEastAsia" w:eastAsiaTheme="minorEastAsia" w:cstheme="minorEastAsia"/>
                <w:sz w:val="24"/>
                <w:szCs w:val="24"/>
                <w:lang w:bidi="ar"/>
              </w:rPr>
              <w:t>%增值税专用发票。</w:t>
            </w:r>
            <w:r>
              <w:rPr>
                <w:rStyle w:val="15"/>
                <w:rFonts w:hint="eastAsia" w:asciiTheme="minorEastAsia" w:hAnsiTheme="minorEastAsia" w:eastAsiaTheme="minorEastAsia" w:cstheme="minorEastAsia"/>
                <w:sz w:val="24"/>
                <w:szCs w:val="24"/>
                <w:lang w:bidi="ar"/>
              </w:rPr>
              <w:br w:type="textWrapping"/>
            </w:r>
            <w:r>
              <w:rPr>
                <w:rStyle w:val="15"/>
                <w:rFonts w:hint="eastAsia" w:asciiTheme="minorEastAsia" w:hAnsiTheme="minorEastAsia" w:eastAsiaTheme="minorEastAsia" w:cstheme="minorEastAsia"/>
                <w:sz w:val="24"/>
                <w:szCs w:val="24"/>
                <w:lang w:bidi="ar"/>
              </w:rPr>
              <w:t>2、按照电表实际使用数量</w:t>
            </w:r>
            <w:r>
              <w:rPr>
                <w:rStyle w:val="15"/>
                <w:rFonts w:hint="eastAsia" w:asciiTheme="minorEastAsia" w:hAnsiTheme="minorEastAsia" w:eastAsiaTheme="minorEastAsia" w:cstheme="minorEastAsia"/>
                <w:sz w:val="24"/>
                <w:szCs w:val="24"/>
                <w:u w:val="single"/>
                <w:lang w:bidi="ar"/>
              </w:rPr>
              <w:t xml:space="preserve">      </w:t>
            </w:r>
            <w:r>
              <w:rPr>
                <w:rStyle w:val="15"/>
                <w:rFonts w:hint="eastAsia" w:asciiTheme="minorEastAsia" w:hAnsiTheme="minorEastAsia" w:eastAsiaTheme="minorEastAsia" w:cstheme="minorEastAsia"/>
                <w:sz w:val="24"/>
                <w:szCs w:val="24"/>
                <w:lang w:bidi="ar"/>
              </w:rPr>
              <w:t>元/度；水费及物业（卫生费用)</w:t>
            </w:r>
            <w:r>
              <w:rPr>
                <w:rStyle w:val="15"/>
                <w:rFonts w:hint="eastAsia" w:asciiTheme="minorEastAsia" w:hAnsiTheme="minorEastAsia" w:eastAsiaTheme="minorEastAsia" w:cstheme="minorEastAsia"/>
                <w:sz w:val="24"/>
                <w:szCs w:val="24"/>
                <w:u w:val="single"/>
                <w:lang w:bidi="ar"/>
              </w:rPr>
              <w:t xml:space="preserve">      </w:t>
            </w:r>
            <w:r>
              <w:rPr>
                <w:rStyle w:val="15"/>
                <w:rFonts w:hint="eastAsia" w:asciiTheme="minorEastAsia" w:hAnsiTheme="minorEastAsia" w:eastAsiaTheme="minorEastAsia" w:cstheme="minorEastAsia"/>
                <w:sz w:val="24"/>
                <w:szCs w:val="24"/>
                <w:lang w:bidi="ar"/>
              </w:rPr>
              <w:t xml:space="preserve">元/月。                                                                                            3、是否提供（在线监控、虫鼠害控制实施、叉车充电桩）。                                                                                                                              </w:t>
            </w:r>
          </w:p>
        </w:tc>
      </w:tr>
      <w:tr>
        <w:tblPrEx>
          <w:tblCellMar>
            <w:top w:w="0" w:type="dxa"/>
            <w:left w:w="0" w:type="dxa"/>
            <w:bottom w:w="0" w:type="dxa"/>
            <w:right w:w="0" w:type="dxa"/>
          </w:tblCellMar>
        </w:tblPrEx>
        <w:trPr>
          <w:trHeight w:val="305" w:hRule="atLeast"/>
        </w:trPr>
        <w:tc>
          <w:tcPr>
            <w:tcW w:w="404"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both"/>
              <w:rPr>
                <w:rFonts w:ascii="宋体" w:hAnsi="宋体" w:cs="宋体"/>
                <w:color w:val="000000"/>
                <w:sz w:val="24"/>
              </w:rPr>
            </w:pPr>
          </w:p>
        </w:tc>
        <w:tc>
          <w:tcPr>
            <w:tcW w:w="147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both"/>
              <w:rPr>
                <w:rFonts w:ascii="宋体" w:hAnsi="宋体" w:cs="宋体"/>
                <w:color w:val="000000"/>
                <w:sz w:val="24"/>
              </w:rPr>
            </w:pPr>
          </w:p>
        </w:tc>
        <w:tc>
          <w:tcPr>
            <w:tcW w:w="153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both"/>
              <w:rPr>
                <w:rFonts w:ascii="黑体" w:hAnsi="宋体" w:eastAsia="黑体" w:cs="黑体"/>
                <w:color w:val="000000"/>
                <w:sz w:val="24"/>
              </w:rPr>
            </w:pPr>
          </w:p>
        </w:tc>
        <w:tc>
          <w:tcPr>
            <w:tcW w:w="141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both"/>
              <w:rPr>
                <w:rFonts w:ascii="黑体" w:hAnsi="宋体" w:eastAsia="黑体" w:cs="黑体"/>
                <w:color w:val="000000"/>
                <w:sz w:val="24"/>
              </w:rPr>
            </w:pPr>
          </w:p>
        </w:tc>
        <w:tc>
          <w:tcPr>
            <w:tcW w:w="13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both"/>
              <w:rPr>
                <w:rFonts w:ascii="黑体" w:hAnsi="宋体" w:eastAsia="黑体" w:cs="黑体"/>
                <w:color w:val="000000"/>
                <w:sz w:val="24"/>
              </w:rPr>
            </w:pPr>
          </w:p>
        </w:tc>
        <w:tc>
          <w:tcPr>
            <w:tcW w:w="15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both"/>
              <w:rPr>
                <w:rFonts w:ascii="黑体" w:hAnsi="宋体" w:eastAsia="黑体" w:cs="黑体"/>
                <w:color w:val="000000"/>
                <w:sz w:val="24"/>
              </w:rPr>
            </w:pPr>
          </w:p>
        </w:tc>
        <w:tc>
          <w:tcPr>
            <w:tcW w:w="121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both"/>
              <w:rPr>
                <w:rFonts w:ascii="黑体" w:hAnsi="宋体" w:eastAsia="黑体" w:cs="黑体"/>
                <w:color w:val="000000"/>
                <w:sz w:val="24"/>
              </w:rPr>
            </w:pPr>
          </w:p>
        </w:tc>
      </w:tr>
      <w:tr>
        <w:tblPrEx>
          <w:tblCellMar>
            <w:top w:w="0" w:type="dxa"/>
            <w:left w:w="0" w:type="dxa"/>
            <w:bottom w:w="0" w:type="dxa"/>
            <w:right w:w="0" w:type="dxa"/>
          </w:tblCellMar>
        </w:tblPrEx>
        <w:trPr>
          <w:trHeight w:val="801" w:hRule="atLeast"/>
        </w:trPr>
        <w:tc>
          <w:tcPr>
            <w:tcW w:w="404"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both"/>
              <w:rPr>
                <w:rFonts w:ascii="宋体" w:hAnsi="宋体" w:cs="宋体"/>
                <w:color w:val="000000"/>
                <w:sz w:val="24"/>
              </w:rPr>
            </w:pPr>
          </w:p>
        </w:tc>
        <w:tc>
          <w:tcPr>
            <w:tcW w:w="147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both"/>
              <w:rPr>
                <w:rFonts w:ascii="宋体" w:hAnsi="宋体" w:cs="宋体"/>
                <w:color w:val="000000"/>
                <w:sz w:val="24"/>
              </w:rPr>
            </w:pPr>
          </w:p>
        </w:tc>
        <w:tc>
          <w:tcPr>
            <w:tcW w:w="153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both"/>
              <w:rPr>
                <w:rFonts w:ascii="黑体" w:hAnsi="宋体" w:eastAsia="黑体" w:cs="黑体"/>
                <w:color w:val="000000"/>
                <w:sz w:val="24"/>
              </w:rPr>
            </w:pPr>
          </w:p>
        </w:tc>
        <w:tc>
          <w:tcPr>
            <w:tcW w:w="141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both"/>
              <w:rPr>
                <w:rFonts w:ascii="黑体" w:hAnsi="宋体" w:eastAsia="黑体" w:cs="黑体"/>
                <w:color w:val="000000"/>
                <w:sz w:val="24"/>
              </w:rPr>
            </w:pPr>
          </w:p>
        </w:tc>
        <w:tc>
          <w:tcPr>
            <w:tcW w:w="4151" w:type="dxa"/>
            <w:gridSpan w:val="3"/>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ascii="黑体" w:hAnsi="宋体" w:eastAsia="黑体" w:cs="黑体"/>
                <w:color w:val="000000"/>
                <w:sz w:val="24"/>
              </w:rPr>
            </w:pPr>
            <w:r>
              <w:rPr>
                <w:rFonts w:hint="eastAsia" w:ascii="黑体" w:hAnsi="宋体" w:eastAsia="黑体" w:cs="黑体"/>
                <w:color w:val="000000"/>
                <w:kern w:val="0"/>
                <w:sz w:val="24"/>
                <w:lang w:bidi="ar"/>
              </w:rPr>
              <w:t>报价单位：</w:t>
            </w:r>
            <w:r>
              <w:rPr>
                <w:rFonts w:hint="eastAsia" w:ascii="黑体" w:hAnsi="宋体" w:eastAsia="黑体" w:cs="黑体"/>
                <w:color w:val="000000"/>
                <w:kern w:val="0"/>
                <w:szCs w:val="21"/>
                <w:lang w:bidi="ar"/>
              </w:rPr>
              <w:t>加盖公章</w:t>
            </w:r>
          </w:p>
        </w:tc>
      </w:tr>
      <w:tr>
        <w:tblPrEx>
          <w:tblCellMar>
            <w:top w:w="0" w:type="dxa"/>
            <w:left w:w="0" w:type="dxa"/>
            <w:bottom w:w="0" w:type="dxa"/>
            <w:right w:w="0" w:type="dxa"/>
          </w:tblCellMar>
        </w:tblPrEx>
        <w:trPr>
          <w:trHeight w:val="613" w:hRule="atLeast"/>
        </w:trPr>
        <w:tc>
          <w:tcPr>
            <w:tcW w:w="404"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both"/>
              <w:rPr>
                <w:rFonts w:ascii="宋体" w:hAnsi="宋体" w:cs="宋体"/>
                <w:color w:val="000000"/>
                <w:sz w:val="24"/>
              </w:rPr>
            </w:pPr>
          </w:p>
        </w:tc>
        <w:tc>
          <w:tcPr>
            <w:tcW w:w="147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both"/>
              <w:rPr>
                <w:rFonts w:ascii="宋体" w:hAnsi="宋体" w:cs="宋体"/>
                <w:color w:val="000000"/>
                <w:sz w:val="24"/>
              </w:rPr>
            </w:pPr>
          </w:p>
        </w:tc>
        <w:tc>
          <w:tcPr>
            <w:tcW w:w="153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both"/>
              <w:rPr>
                <w:rFonts w:ascii="黑体" w:hAnsi="宋体" w:eastAsia="黑体" w:cs="黑体"/>
                <w:color w:val="000000"/>
                <w:sz w:val="24"/>
              </w:rPr>
            </w:pPr>
          </w:p>
        </w:tc>
        <w:tc>
          <w:tcPr>
            <w:tcW w:w="141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both"/>
              <w:rPr>
                <w:rFonts w:ascii="黑体" w:hAnsi="宋体" w:eastAsia="黑体" w:cs="黑体"/>
                <w:color w:val="000000"/>
                <w:sz w:val="24"/>
              </w:rPr>
            </w:pPr>
          </w:p>
        </w:tc>
        <w:tc>
          <w:tcPr>
            <w:tcW w:w="4151" w:type="dxa"/>
            <w:gridSpan w:val="3"/>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ascii="黑体" w:hAnsi="宋体" w:eastAsia="黑体" w:cs="黑体"/>
                <w:color w:val="000000"/>
                <w:sz w:val="24"/>
              </w:rPr>
            </w:pPr>
            <w:r>
              <w:rPr>
                <w:rFonts w:hint="eastAsia" w:ascii="黑体" w:hAnsi="宋体" w:eastAsia="黑体" w:cs="黑体"/>
                <w:color w:val="000000"/>
                <w:kern w:val="0"/>
                <w:sz w:val="24"/>
                <w:lang w:bidi="ar"/>
              </w:rPr>
              <w:t>日期</w:t>
            </w:r>
          </w:p>
        </w:tc>
      </w:tr>
    </w:tbl>
    <w:p>
      <w:pPr>
        <w:keepNext w:val="0"/>
        <w:keepLines w:val="0"/>
        <w:pageBreakBefore w:val="0"/>
        <w:kinsoku/>
        <w:wordWrap/>
        <w:overflowPunct/>
        <w:topLinePunct w:val="0"/>
        <w:autoSpaceDE/>
        <w:autoSpaceDN/>
        <w:bidi w:val="0"/>
        <w:adjustRightInd/>
        <w:snapToGrid/>
        <w:spacing w:line="560" w:lineRule="exact"/>
        <w:jc w:val="both"/>
      </w:pPr>
    </w:p>
    <w:p>
      <w:pPr>
        <w:keepNext w:val="0"/>
        <w:keepLines w:val="0"/>
        <w:pageBreakBefore w:val="0"/>
        <w:kinsoku/>
        <w:wordWrap/>
        <w:overflowPunct/>
        <w:topLinePunct w:val="0"/>
        <w:autoSpaceDE/>
        <w:autoSpaceDN/>
        <w:bidi w:val="0"/>
        <w:adjustRightInd/>
        <w:snapToGrid/>
        <w:spacing w:line="560" w:lineRule="exact"/>
        <w:jc w:val="both"/>
        <w:rPr>
          <w:rFonts w:hint="eastAsia"/>
        </w:rPr>
      </w:pPr>
    </w:p>
    <w:p>
      <w:pPr>
        <w:keepNext w:val="0"/>
        <w:keepLines w:val="0"/>
        <w:pageBreakBefore w:val="0"/>
        <w:kinsoku/>
        <w:wordWrap/>
        <w:overflowPunct/>
        <w:topLinePunct w:val="0"/>
        <w:autoSpaceDE/>
        <w:autoSpaceDN/>
        <w:bidi w:val="0"/>
        <w:adjustRightInd/>
        <w:snapToGrid/>
        <w:spacing w:line="560" w:lineRule="exact"/>
        <w:jc w:val="both"/>
      </w:pPr>
      <w:r>
        <w:rPr>
          <w:rFonts w:hint="eastAsia" w:ascii="方正仿宋_GBK" w:hAnsi="方正仿宋_GBK" w:eastAsia="方正仿宋_GBK" w:cs="方正仿宋_GBK"/>
          <w:sz w:val="32"/>
          <w:szCs w:val="32"/>
        </w:rPr>
        <w:t>附件：2</w:t>
      </w:r>
    </w:p>
    <w:p>
      <w:pPr>
        <w:keepNext w:val="0"/>
        <w:keepLines w:val="0"/>
        <w:pageBreakBefore w:val="0"/>
        <w:kinsoku/>
        <w:wordWrap/>
        <w:overflowPunct/>
        <w:topLinePunct w:val="0"/>
        <w:autoSpaceDE/>
        <w:autoSpaceDN/>
        <w:bidi w:val="0"/>
        <w:adjustRightInd/>
        <w:snapToGrid/>
        <w:spacing w:line="560" w:lineRule="exact"/>
        <w:jc w:val="both"/>
        <w:rPr>
          <w:rFonts w:hint="eastAsia"/>
          <w:sz w:val="24"/>
        </w:rPr>
      </w:pPr>
      <w:r>
        <w:rPr>
          <w:rFonts w:hint="eastAsia" w:ascii="方正仿宋_GBK" w:hAnsi="方正仿宋_GBK" w:eastAsia="方正仿宋_GBK" w:cs="方正仿宋_GBK"/>
          <w:sz w:val="32"/>
          <w:szCs w:val="32"/>
        </w:rPr>
        <w:t>营业执照</w:t>
      </w:r>
    </w:p>
    <w:p>
      <w:pPr>
        <w:keepNext w:val="0"/>
        <w:keepLines w:val="0"/>
        <w:pageBreakBefore w:val="0"/>
        <w:kinsoku/>
        <w:wordWrap/>
        <w:overflowPunct/>
        <w:topLinePunct w:val="0"/>
        <w:autoSpaceDE/>
        <w:autoSpaceDN/>
        <w:bidi w:val="0"/>
        <w:adjustRightInd/>
        <w:snapToGrid/>
        <w:spacing w:line="560" w:lineRule="exact"/>
        <w:jc w:val="both"/>
        <w:rPr>
          <w:sz w:val="32"/>
          <w:szCs w:val="32"/>
        </w:rPr>
      </w:pPr>
      <w:r>
        <w:rPr>
          <w:rFonts w:hint="eastAsia" w:ascii="方正仿宋_GBK" w:hAnsi="方正仿宋_GBK" w:eastAsia="方正仿宋_GBK" w:cs="方正仿宋_GBK"/>
          <w:sz w:val="32"/>
          <w:szCs w:val="32"/>
        </w:rPr>
        <w:t>附件：3</w:t>
      </w:r>
    </w:p>
    <w:p>
      <w:pPr>
        <w:keepNext w:val="0"/>
        <w:keepLines w:val="0"/>
        <w:pageBreakBefore w:val="0"/>
        <w:kinsoku/>
        <w:wordWrap/>
        <w:overflowPunct/>
        <w:topLinePunct w:val="0"/>
        <w:autoSpaceDE/>
        <w:autoSpaceDN/>
        <w:bidi w:val="0"/>
        <w:adjustRightInd/>
        <w:snapToGrid/>
        <w:spacing w:line="560" w:lineRule="exact"/>
        <w:jc w:val="both"/>
        <w:rPr>
          <w:sz w:val="32"/>
          <w:szCs w:val="32"/>
        </w:rPr>
      </w:pPr>
      <w:r>
        <w:rPr>
          <w:rFonts w:hint="eastAsia"/>
          <w:sz w:val="32"/>
          <w:szCs w:val="32"/>
        </w:rPr>
        <w:t>租赁库房产权证明（或者租赁合同）</w:t>
      </w:r>
    </w:p>
    <w:p>
      <w:pPr>
        <w:keepNext w:val="0"/>
        <w:keepLines w:val="0"/>
        <w:pageBreakBefore w:val="0"/>
        <w:kinsoku/>
        <w:wordWrap/>
        <w:overflowPunct/>
        <w:topLinePunct w:val="0"/>
        <w:autoSpaceDE/>
        <w:autoSpaceDN/>
        <w:bidi w:val="0"/>
        <w:adjustRightInd/>
        <w:snapToGrid/>
        <w:spacing w:line="560" w:lineRule="exact"/>
        <w:jc w:val="both"/>
        <w:rPr>
          <w:rFonts w:asciiTheme="minorEastAsia" w:hAnsiTheme="minorEastAsia" w:cstheme="minorEastAsia"/>
          <w:bCs/>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6E7B06"/>
    <w:multiLevelType w:val="singleLevel"/>
    <w:tmpl w:val="AB6E7B06"/>
    <w:lvl w:ilvl="0" w:tentative="0">
      <w:start w:val="5"/>
      <w:numFmt w:val="chineseCounting"/>
      <w:suff w:val="nothing"/>
      <w:lvlText w:val="%1、"/>
      <w:lvlJc w:val="left"/>
      <w:rPr>
        <w:rFonts w:hint="eastAsia"/>
      </w:rPr>
    </w:lvl>
  </w:abstractNum>
  <w:abstractNum w:abstractNumId="1">
    <w:nsid w:val="F2D216CB"/>
    <w:multiLevelType w:val="singleLevel"/>
    <w:tmpl w:val="F2D216CB"/>
    <w:lvl w:ilvl="0" w:tentative="0">
      <w:start w:val="1"/>
      <w:numFmt w:val="chineseCounting"/>
      <w:suff w:val="nothing"/>
      <w:lvlText w:val="%1、"/>
      <w:lvlJc w:val="left"/>
      <w:rPr>
        <w:rFonts w:hint="eastAsia"/>
      </w:rPr>
    </w:lvl>
  </w:abstractNum>
  <w:abstractNum w:abstractNumId="2">
    <w:nsid w:val="26099ABF"/>
    <w:multiLevelType w:val="singleLevel"/>
    <w:tmpl w:val="26099ABF"/>
    <w:lvl w:ilvl="0" w:tentative="0">
      <w:start w:val="1"/>
      <w:numFmt w:val="decimal"/>
      <w:suff w:val="nothing"/>
      <w:lvlText w:val="%1、"/>
      <w:lvlJc w:val="left"/>
    </w:lvl>
  </w:abstractNum>
  <w:abstractNum w:abstractNumId="3">
    <w:nsid w:val="2D3BF3D0"/>
    <w:multiLevelType w:val="singleLevel"/>
    <w:tmpl w:val="2D3BF3D0"/>
    <w:lvl w:ilvl="0" w:tentative="0">
      <w:start w:val="7"/>
      <w:numFmt w:val="chineseCounting"/>
      <w:suff w:val="nothing"/>
      <w:lvlText w:val="%1、"/>
      <w:lvlJc w:val="left"/>
      <w:rPr>
        <w:rFonts w:hint="eastAsia"/>
      </w:rPr>
    </w:lvl>
  </w:abstractNum>
  <w:abstractNum w:abstractNumId="4">
    <w:nsid w:val="415B53EA"/>
    <w:multiLevelType w:val="singleLevel"/>
    <w:tmpl w:val="415B53EA"/>
    <w:lvl w:ilvl="0" w:tentative="0">
      <w:start w:val="1"/>
      <w:numFmt w:val="decimal"/>
      <w:suff w:val="nothing"/>
      <w:lvlText w:val="%1、"/>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64584"/>
    <w:rsid w:val="00812636"/>
    <w:rsid w:val="008A3C0B"/>
    <w:rsid w:val="008C03E4"/>
    <w:rsid w:val="00EF6192"/>
    <w:rsid w:val="01921AA3"/>
    <w:rsid w:val="029C0247"/>
    <w:rsid w:val="04986517"/>
    <w:rsid w:val="0A937AE7"/>
    <w:rsid w:val="0AC81E72"/>
    <w:rsid w:val="0C360518"/>
    <w:rsid w:val="0C5B3781"/>
    <w:rsid w:val="0D47772E"/>
    <w:rsid w:val="0E55562E"/>
    <w:rsid w:val="0F473B47"/>
    <w:rsid w:val="131F04B0"/>
    <w:rsid w:val="14855E79"/>
    <w:rsid w:val="1D6E01C2"/>
    <w:rsid w:val="1DA828E6"/>
    <w:rsid w:val="20431E29"/>
    <w:rsid w:val="217D41E6"/>
    <w:rsid w:val="22297D19"/>
    <w:rsid w:val="2376638E"/>
    <w:rsid w:val="238D7471"/>
    <w:rsid w:val="23C824C1"/>
    <w:rsid w:val="23DB2F62"/>
    <w:rsid w:val="250052C3"/>
    <w:rsid w:val="25FF601B"/>
    <w:rsid w:val="283C2212"/>
    <w:rsid w:val="2895522E"/>
    <w:rsid w:val="29082BE0"/>
    <w:rsid w:val="2D5F1580"/>
    <w:rsid w:val="2E964584"/>
    <w:rsid w:val="30B36591"/>
    <w:rsid w:val="31136E94"/>
    <w:rsid w:val="32504AC8"/>
    <w:rsid w:val="34DC7DF8"/>
    <w:rsid w:val="376513F0"/>
    <w:rsid w:val="384C5E6B"/>
    <w:rsid w:val="3BFA1CC7"/>
    <w:rsid w:val="3D7830A6"/>
    <w:rsid w:val="3E911671"/>
    <w:rsid w:val="40D939D8"/>
    <w:rsid w:val="448D5606"/>
    <w:rsid w:val="449E4C05"/>
    <w:rsid w:val="44CB3B1B"/>
    <w:rsid w:val="45715781"/>
    <w:rsid w:val="470B3844"/>
    <w:rsid w:val="48AA61CF"/>
    <w:rsid w:val="4A6A7625"/>
    <w:rsid w:val="4AF10803"/>
    <w:rsid w:val="4E000105"/>
    <w:rsid w:val="4F9C3151"/>
    <w:rsid w:val="4FE539D4"/>
    <w:rsid w:val="50D45BB6"/>
    <w:rsid w:val="529E1AF1"/>
    <w:rsid w:val="57950954"/>
    <w:rsid w:val="57AC5776"/>
    <w:rsid w:val="5B295620"/>
    <w:rsid w:val="5C237951"/>
    <w:rsid w:val="5EDA70DE"/>
    <w:rsid w:val="5F462C45"/>
    <w:rsid w:val="630E6AAA"/>
    <w:rsid w:val="63C610ED"/>
    <w:rsid w:val="67121ED9"/>
    <w:rsid w:val="67371E04"/>
    <w:rsid w:val="67592FAC"/>
    <w:rsid w:val="6765732C"/>
    <w:rsid w:val="6A075683"/>
    <w:rsid w:val="6A7E541E"/>
    <w:rsid w:val="6BED08E3"/>
    <w:rsid w:val="6FCD52A0"/>
    <w:rsid w:val="71EE36C0"/>
    <w:rsid w:val="728C76D2"/>
    <w:rsid w:val="72A35BEB"/>
    <w:rsid w:val="73386816"/>
    <w:rsid w:val="78646412"/>
    <w:rsid w:val="7DC85065"/>
    <w:rsid w:val="7DF445FB"/>
    <w:rsid w:val="7E566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character" w:customStyle="1" w:styleId="13">
    <w:name w:val="font51"/>
    <w:basedOn w:val="10"/>
    <w:qFormat/>
    <w:uiPriority w:val="0"/>
    <w:rPr>
      <w:rFonts w:hint="eastAsia" w:ascii="黑体" w:hAnsi="宋体" w:eastAsia="黑体" w:cs="黑体"/>
      <w:color w:val="000000"/>
      <w:sz w:val="32"/>
      <w:szCs w:val="32"/>
      <w:u w:val="none"/>
    </w:rPr>
  </w:style>
  <w:style w:type="character" w:customStyle="1" w:styleId="14">
    <w:name w:val="font21"/>
    <w:basedOn w:val="10"/>
    <w:qFormat/>
    <w:uiPriority w:val="0"/>
    <w:rPr>
      <w:rFonts w:ascii="宋体" w:hAnsi="宋体" w:eastAsia="宋体" w:cs="宋体"/>
      <w:color w:val="000000"/>
      <w:sz w:val="32"/>
      <w:szCs w:val="32"/>
      <w:u w:val="none"/>
    </w:rPr>
  </w:style>
  <w:style w:type="character" w:customStyle="1" w:styleId="15">
    <w:name w:val="font41"/>
    <w:basedOn w:val="10"/>
    <w:qFormat/>
    <w:uiPriority w:val="0"/>
    <w:rPr>
      <w:rFonts w:hint="eastAsia" w:ascii="黑体" w:hAnsi="宋体" w:eastAsia="黑体" w:cs="黑体"/>
      <w:color w:val="000000"/>
      <w:sz w:val="24"/>
      <w:szCs w:val="24"/>
      <w:u w:val="none"/>
    </w:rPr>
  </w:style>
  <w:style w:type="paragraph" w:customStyle="1" w:styleId="16">
    <w:name w:val="_正文段落"/>
    <w:basedOn w:val="1"/>
    <w:qFormat/>
    <w:uiPriority w:val="0"/>
    <w:pPr>
      <w:spacing w:beforeLines="15"/>
    </w:pPr>
  </w:style>
  <w:style w:type="character" w:customStyle="1" w:styleId="17">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325</Words>
  <Characters>1855</Characters>
  <Lines>15</Lines>
  <Paragraphs>4</Paragraphs>
  <TotalTime>33</TotalTime>
  <ScaleCrop>false</ScaleCrop>
  <LinksUpToDate>false</LinksUpToDate>
  <CharactersWithSpaces>2176</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2025-10-13T02:55:00Z</dcterms:created>
  <dc:creator>李文</dc:creator>
  <cp:lastModifiedBy>JX</cp:lastModifiedBy>
  <cp:lastPrinted>2025-10-16T08:43:00Z</cp:lastPrinted>
  <dcterms:modified xsi:type="dcterms:W3CDTF">2025-10-20T06:40:24Z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KSOTemplateDocerSaveRecord">
    <vt:lpwstr>eyJoZGlkIjoiMTE2MzVhMGFkYmViMjFlYjEwZDE0NDhhM2ZiYTU1Y2YiLCJ1c2VySWQiOiI3NTQ4MTc2MDEifQ==</vt:lpwstr>
  </property>
  <property fmtid="{D5CDD505-2E9C-101B-9397-08002B2CF9AE}" pid="4" name="ICV">
    <vt:lpwstr>1085ED2998464D29A8E45450F21D9FBE_13</vt:lpwstr>
  </property>
</Properties>
</file>