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中垦华山牧乳业有限公司关于常温库房租赁公示</w:t>
      </w:r>
    </w:p>
    <w:p>
      <w:pPr>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随着经营规模的不断扩大，导致库存压力较大，为了保障公司产品存放及质量要求，现需距我司10公里内的外租常温产品仓储库房一处，库容为3700平方左右，库房面积及相关基础设施符合食品仓储管理要求均可参与我司库房承租业务洽谈，并提供加盖公章的（附件:1租赁报价、附件:2营业执照、附件:3库房产权证明或者租赁合同、附件：4企业信用报告（企查查）、附件：5现场照片（库内、库外）至少各一张）。经我司评标小组确认能满足乳制品食品安全仓储标准及我司租赁面积需求出租方。</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此报价公示截止时间：2025年11月 </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注意事项：</w:t>
      </w:r>
    </w:p>
    <w:p>
      <w:pPr>
        <w:numPr>
          <w:ilvl w:val="0"/>
          <w:numId w:val="1"/>
        </w:num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报价单及相关附件必需密封并加盖公章，投递方式可现场投递、邮寄均可。</w:t>
      </w:r>
    </w:p>
    <w:p>
      <w:pPr>
        <w:numPr>
          <w:ilvl w:val="0"/>
          <w:numId w:val="1"/>
        </w:num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收件地址：陕西省渭南市中垦大道中垦华山牧乳业有限公司，</w:t>
      </w:r>
    </w:p>
    <w:p>
      <w:pPr>
        <w:numPr>
          <w:ilvl w:val="0"/>
          <w:numId w:val="1"/>
        </w:num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联系人：李文15181833167；  田静静18502969868</w:t>
      </w:r>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中垦华山牧乳业有限公司</w:t>
      </w:r>
    </w:p>
    <w:p>
      <w:pPr>
        <w:jc w:val="center"/>
        <w:rPr>
          <w:rFonts w:asciiTheme="majorEastAsia" w:hAnsiTheme="majorEastAsia" w:eastAsiaTheme="majorEastAsia" w:cstheme="majorEastAsia"/>
          <w:b/>
          <w:bCs/>
          <w:sz w:val="28"/>
          <w:szCs w:val="28"/>
        </w:rPr>
      </w:pPr>
      <w:r>
        <w:rPr>
          <w:rFonts w:hint="eastAsia" w:ascii="方正仿宋_GBK" w:hAnsi="方正仿宋_GBK" w:eastAsia="方正仿宋_GBK" w:cs="方正仿宋_GBK"/>
          <w:sz w:val="32"/>
          <w:szCs w:val="32"/>
        </w:rPr>
        <w:t xml:space="preserve">           2025年10月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p>
      <w:pPr>
        <w:jc w:val="cente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库房租赁比选文件</w:t>
      </w:r>
    </w:p>
    <w:p>
      <w:pPr>
        <w:pStyle w:val="2"/>
        <w:widowControl/>
        <w:numPr>
          <w:ilvl w:val="0"/>
          <w:numId w:val="2"/>
        </w:numPr>
        <w:spacing w:beforeAutospacing="0" w:afterAutospacing="0" w:line="360" w:lineRule="auto"/>
        <w:ind w:left="840" w:hanging="840" w:hangingChars="300"/>
        <w:rPr>
          <w:rStyle w:val="11"/>
          <w:rFonts w:hint="default" w:asciiTheme="minorEastAsia" w:hAnsiTheme="minorEastAsia" w:eastAsiaTheme="minorEastAsia" w:cstheme="minorEastAsia"/>
          <w:b w:val="0"/>
          <w:bCs/>
          <w:sz w:val="28"/>
          <w:szCs w:val="28"/>
        </w:rPr>
      </w:pPr>
      <w:r>
        <w:rPr>
          <w:rStyle w:val="11"/>
          <w:rFonts w:asciiTheme="minorEastAsia" w:hAnsiTheme="minorEastAsia" w:eastAsiaTheme="minorEastAsia" w:cstheme="minorEastAsia"/>
          <w:b w:val="0"/>
          <w:bCs/>
          <w:sz w:val="28"/>
          <w:szCs w:val="28"/>
        </w:rPr>
        <w:t>项目概况</w:t>
      </w:r>
    </w:p>
    <w:p>
      <w:pPr>
        <w:spacing w:line="360" w:lineRule="auto"/>
        <w:jc w:val="left"/>
        <w:rPr>
          <w:rFonts w:asciiTheme="minorEastAsia" w:hAnsiTheme="minorEastAsia" w:cstheme="minorEastAsia"/>
          <w:bCs/>
          <w:sz w:val="28"/>
          <w:szCs w:val="28"/>
        </w:rPr>
      </w:pPr>
      <w:r>
        <w:rPr>
          <w:rFonts w:asciiTheme="minorEastAsia" w:hAnsiTheme="minorEastAsia" w:cstheme="minorEastAsia"/>
          <w:bCs/>
          <w:sz w:val="28"/>
          <w:szCs w:val="28"/>
        </w:rPr>
        <w:t>我公司随着经营规模的不断扩大，导致库存压力较大，为了保障公司产品存放及质量要求，现需距我司10公里内的外租常温产品仓储库房一处，库容</w:t>
      </w:r>
      <w:r>
        <w:rPr>
          <w:rFonts w:hint="eastAsia" w:asciiTheme="minorEastAsia" w:hAnsiTheme="minorEastAsia" w:cstheme="minorEastAsia"/>
          <w:bCs/>
          <w:sz w:val="28"/>
          <w:szCs w:val="28"/>
        </w:rPr>
        <w:t>≥</w:t>
      </w:r>
      <w:r>
        <w:rPr>
          <w:rFonts w:asciiTheme="minorEastAsia" w:hAnsiTheme="minorEastAsia" w:cstheme="minorEastAsia"/>
          <w:bCs/>
          <w:sz w:val="28"/>
          <w:szCs w:val="28"/>
        </w:rPr>
        <w:t>3700</w:t>
      </w:r>
      <w:r>
        <w:rPr>
          <w:rFonts w:hint="eastAsia" w:asciiTheme="minorEastAsia" w:hAnsiTheme="minorEastAsia" w:cstheme="minorEastAsia"/>
          <w:bCs/>
          <w:sz w:val="28"/>
          <w:szCs w:val="28"/>
        </w:rPr>
        <w:t>㎡</w:t>
      </w:r>
      <w:r>
        <w:rPr>
          <w:rFonts w:asciiTheme="minorEastAsia" w:hAnsiTheme="minorEastAsia" w:cstheme="minorEastAsia"/>
          <w:bCs/>
          <w:sz w:val="28"/>
          <w:szCs w:val="28"/>
        </w:rPr>
        <w:t>，需租赁符合GB 14881-2013《食品安全国家标准》的专业库房，配套装卸、运输及仓储管理服务。符合要求均可参与我司库房承租业务洽谈，并提供加盖公章的（附件:1租赁报价、附件:2营业执照、附件:3库房产权证明或者租赁合同</w:t>
      </w:r>
      <w:r>
        <w:rPr>
          <w:rFonts w:hint="eastAsia" w:asciiTheme="minorEastAsia" w:hAnsiTheme="minorEastAsia" w:cstheme="minorEastAsia"/>
          <w:bCs/>
          <w:sz w:val="28"/>
          <w:szCs w:val="28"/>
        </w:rPr>
        <w:t>、附件：4企业信用报告（企查查）、附件：5现场照片（库内、库外）至少各一张</w:t>
      </w:r>
      <w:r>
        <w:rPr>
          <w:rFonts w:asciiTheme="minorEastAsia" w:hAnsiTheme="minorEastAsia" w:cstheme="minorEastAsia"/>
          <w:bCs/>
          <w:sz w:val="28"/>
          <w:szCs w:val="28"/>
        </w:rPr>
        <w:t>）。经我司评标小组确认能满足乳制品食品安全仓储标准及我司租赁面积需求出租方。</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二、服务范围</w:t>
      </w:r>
    </w:p>
    <w:p>
      <w:pPr>
        <w:pStyle w:val="7"/>
        <w:widowControl/>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库房租赁：</w:t>
      </w:r>
    </w:p>
    <w:p>
      <w:pPr>
        <w:pStyle w:val="7"/>
        <w:widowControl/>
        <w:numPr>
          <w:ilvl w:val="0"/>
          <w:numId w:val="3"/>
        </w:numPr>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需提供≥3700㎡的合规库房，年租金最高限价（65万元）。</w:t>
      </w:r>
    </w:p>
    <w:p>
      <w:pPr>
        <w:pStyle w:val="7"/>
        <w:widowControl/>
        <w:numPr>
          <w:ilvl w:val="0"/>
          <w:numId w:val="3"/>
        </w:numPr>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配备四防（防鼠、防蝇、防盗、防火）设施及24小时监控系统。</w:t>
      </w:r>
    </w:p>
    <w:p>
      <w:pPr>
        <w:pStyle w:val="2"/>
        <w:widowControl/>
        <w:spacing w:beforeAutospacing="0" w:afterAutospacing="0" w:line="360" w:lineRule="auto"/>
        <w:rPr>
          <w:rFonts w:hint="default" w:asciiTheme="minorEastAsia" w:hAnsiTheme="minorEastAsia" w:eastAsiaTheme="minorEastAsia" w:cstheme="minorEastAsia"/>
          <w:b w:val="0"/>
          <w:bCs/>
          <w:sz w:val="28"/>
          <w:szCs w:val="28"/>
        </w:rPr>
      </w:pPr>
      <w:r>
        <w:rPr>
          <w:rStyle w:val="11"/>
          <w:rFonts w:asciiTheme="minorEastAsia" w:hAnsiTheme="minorEastAsia" w:eastAsiaTheme="minorEastAsia" w:cstheme="minorEastAsia"/>
          <w:b w:val="0"/>
          <w:bCs/>
          <w:sz w:val="28"/>
          <w:szCs w:val="28"/>
        </w:rPr>
        <w:t>三、资格要求</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基本资质：</w:t>
      </w:r>
      <w:r>
        <w:rPr>
          <w:rFonts w:hint="eastAsia" w:asciiTheme="minorEastAsia" w:hAnsiTheme="minorEastAsia" w:cstheme="minorEastAsia"/>
          <w:bCs/>
          <w:sz w:val="28"/>
          <w:szCs w:val="28"/>
        </w:rPr>
        <w:t>独立法人、一般纳税人资格，可开具增值税专用发票。</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信用审查：</w:t>
      </w:r>
      <w:r>
        <w:rPr>
          <w:rFonts w:hint="eastAsia" w:asciiTheme="minorEastAsia" w:hAnsiTheme="minorEastAsia" w:cstheme="minorEastAsia"/>
          <w:bCs/>
          <w:sz w:val="28"/>
          <w:szCs w:val="28"/>
        </w:rPr>
        <w:t>未被列入“信用中国、企查查”或国家企业信用信息公示系统黑名单。</w:t>
      </w:r>
    </w:p>
    <w:p>
      <w:pPr>
        <w:pStyle w:val="2"/>
        <w:widowControl/>
        <w:spacing w:beforeAutospacing="0" w:afterAutospacing="0" w:line="360" w:lineRule="auto"/>
        <w:rPr>
          <w:rFonts w:hint="default" w:asciiTheme="minorEastAsia" w:hAnsiTheme="minorEastAsia" w:eastAsiaTheme="minorEastAsia" w:cstheme="minorEastAsia"/>
          <w:b w:val="0"/>
          <w:bCs/>
          <w:sz w:val="28"/>
          <w:szCs w:val="28"/>
        </w:rPr>
      </w:pPr>
      <w:r>
        <w:rPr>
          <w:rStyle w:val="11"/>
          <w:rFonts w:asciiTheme="minorEastAsia" w:hAnsiTheme="minorEastAsia" w:eastAsiaTheme="minorEastAsia" w:cstheme="minorEastAsia"/>
          <w:b w:val="0"/>
          <w:bCs/>
          <w:sz w:val="28"/>
          <w:szCs w:val="28"/>
        </w:rPr>
        <w:t>四、比选流程</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报名材料</w:t>
      </w:r>
    </w:p>
    <w:p>
      <w:pPr>
        <w:pStyle w:val="7"/>
        <w:widowControl/>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联系人及联系电话、营业执照、法人授权书、仓库产权/租赁证明、中垦华山牧乳业有限公司距离需高德地图定位截图。</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评审标准：</w:t>
      </w:r>
      <w:r>
        <w:rPr>
          <w:rFonts w:hint="eastAsia" w:asciiTheme="minorEastAsia" w:hAnsiTheme="minorEastAsia" w:cstheme="minorEastAsia"/>
          <w:bCs/>
          <w:sz w:val="28"/>
          <w:szCs w:val="28"/>
        </w:rPr>
        <w:t>报价（60%）、基础设施（30%）、服务响应（10%）。</w:t>
      </w:r>
    </w:p>
    <w:p>
      <w:pPr>
        <w:pStyle w:val="7"/>
        <w:widowControl/>
        <w:spacing w:beforeAutospacing="0" w:afterAutospacing="0" w:line="360" w:lineRule="auto"/>
        <w:rPr>
          <w:rStyle w:val="11"/>
          <w:rFonts w:asciiTheme="minorEastAsia" w:hAnsiTheme="minorEastAsia" w:cstheme="minorEastAsia"/>
          <w:b w:val="0"/>
          <w:bCs/>
          <w:sz w:val="28"/>
          <w:szCs w:val="28"/>
        </w:rPr>
      </w:pPr>
      <w:r>
        <w:rPr>
          <w:rFonts w:hint="eastAsia" w:asciiTheme="minorEastAsia" w:hAnsiTheme="minorEastAsia" w:cstheme="minorEastAsia"/>
          <w:bCs/>
          <w:sz w:val="28"/>
          <w:szCs w:val="28"/>
        </w:rPr>
        <w:t>禁止联合投标或分包。</w:t>
      </w:r>
    </w:p>
    <w:p>
      <w:pPr>
        <w:pStyle w:val="2"/>
        <w:widowControl/>
        <w:spacing w:beforeAutospacing="0" w:afterAutospacing="0" w:line="360" w:lineRule="auto"/>
        <w:rPr>
          <w:rStyle w:val="11"/>
          <w:rFonts w:hint="default" w:asciiTheme="minorEastAsia" w:hAnsiTheme="minorEastAsia" w:eastAsiaTheme="minorEastAsia" w:cstheme="minorEastAsia"/>
          <w:b w:val="0"/>
          <w:bCs/>
          <w:sz w:val="28"/>
          <w:szCs w:val="28"/>
        </w:rPr>
      </w:pPr>
      <w:r>
        <w:rPr>
          <w:rStyle w:val="11"/>
          <w:rFonts w:asciiTheme="minorEastAsia" w:hAnsiTheme="minorEastAsia" w:eastAsiaTheme="minorEastAsia" w:cstheme="minorEastAsia"/>
          <w:b w:val="0"/>
          <w:bCs/>
          <w:sz w:val="28"/>
          <w:szCs w:val="28"/>
        </w:rPr>
        <w:t>五、评分规则：</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455"/>
        <w:gridCol w:w="1113"/>
        <w:gridCol w:w="1004"/>
        <w:gridCol w:w="144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68" w:type="dxa"/>
          </w:tcPr>
          <w:p>
            <w:pPr>
              <w:ind w:firstLine="420" w:firstLineChars="200"/>
            </w:pPr>
            <w:r>
              <w:rPr>
                <w:rFonts w:hint="eastAsia"/>
              </w:rPr>
              <w:t>项 目</w:t>
            </w:r>
          </w:p>
        </w:tc>
        <w:tc>
          <w:tcPr>
            <w:tcW w:w="2455" w:type="dxa"/>
          </w:tcPr>
          <w:p>
            <w:pPr>
              <w:ind w:firstLine="420" w:firstLineChars="200"/>
            </w:pPr>
            <w:r>
              <w:rPr>
                <w:rFonts w:hint="eastAsia"/>
              </w:rPr>
              <w:t>评分参考标准</w:t>
            </w:r>
          </w:p>
        </w:tc>
        <w:tc>
          <w:tcPr>
            <w:tcW w:w="1113" w:type="dxa"/>
          </w:tcPr>
          <w:p/>
        </w:tc>
        <w:tc>
          <w:tcPr>
            <w:tcW w:w="1004" w:type="dxa"/>
          </w:tcPr>
          <w:p/>
        </w:tc>
        <w:tc>
          <w:tcPr>
            <w:tcW w:w="1440" w:type="dxa"/>
          </w:tcPr>
          <w:p/>
        </w:tc>
        <w:tc>
          <w:tcPr>
            <w:tcW w:w="1342" w:type="dxa"/>
          </w:tcPr>
          <w:p>
            <w:pPr>
              <w:jc w:val="cente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center"/>
            </w:pPr>
          </w:p>
          <w:p>
            <w:pPr>
              <w:jc w:val="center"/>
            </w:pPr>
            <w:r>
              <w:rPr>
                <w:rFonts w:hint="eastAsia"/>
              </w:rPr>
              <w:t>报价得分60分</w:t>
            </w:r>
          </w:p>
        </w:tc>
        <w:tc>
          <w:tcPr>
            <w:tcW w:w="2455" w:type="dxa"/>
          </w:tcPr>
          <w:p>
            <w:r>
              <w:rPr>
                <w:rFonts w:hint="eastAsia"/>
              </w:rPr>
              <w:t>所有报价（库房月㎡单价）最低的满分（每高一元扣1分，不够1元按一元扣）</w:t>
            </w:r>
          </w:p>
        </w:tc>
        <w:tc>
          <w:tcPr>
            <w:tcW w:w="1113" w:type="dxa"/>
          </w:tcPr>
          <w:p/>
        </w:tc>
        <w:tc>
          <w:tcPr>
            <w:tcW w:w="1004" w:type="dxa"/>
          </w:tcPr>
          <w:p/>
        </w:tc>
        <w:tc>
          <w:tcPr>
            <w:tcW w:w="1440" w:type="dxa"/>
          </w:tcPr>
          <w:p/>
        </w:tc>
        <w:tc>
          <w:tcPr>
            <w:tcW w:w="13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168" w:type="dxa"/>
          </w:tcPr>
          <w:p>
            <w:pPr>
              <w:jc w:val="center"/>
            </w:pPr>
          </w:p>
          <w:p>
            <w:pPr>
              <w:jc w:val="center"/>
            </w:pPr>
          </w:p>
          <w:p>
            <w:pPr>
              <w:jc w:val="center"/>
            </w:pPr>
            <w:r>
              <w:rPr>
                <w:rFonts w:hint="eastAsia"/>
              </w:rPr>
              <w:t>基础设施30分</w:t>
            </w:r>
          </w:p>
        </w:tc>
        <w:tc>
          <w:tcPr>
            <w:tcW w:w="2455" w:type="dxa"/>
          </w:tcPr>
          <w:p>
            <w:r>
              <w:rPr>
                <w:rFonts w:hint="eastAsia"/>
              </w:rPr>
              <w:t>1、库房周边环境（满分10分）2、库房防雨保温等设施（满分10分）3、虫鼠害设施，24小时监控设施（满分10分）（根据提供的描述进行打分）</w:t>
            </w:r>
          </w:p>
        </w:tc>
        <w:tc>
          <w:tcPr>
            <w:tcW w:w="1113" w:type="dxa"/>
          </w:tcPr>
          <w:p>
            <w:pPr>
              <w:jc w:val="center"/>
            </w:pPr>
          </w:p>
        </w:tc>
        <w:tc>
          <w:tcPr>
            <w:tcW w:w="1004" w:type="dxa"/>
          </w:tcPr>
          <w:p/>
        </w:tc>
        <w:tc>
          <w:tcPr>
            <w:tcW w:w="1440" w:type="dxa"/>
          </w:tcPr>
          <w:p/>
        </w:tc>
        <w:tc>
          <w:tcPr>
            <w:tcW w:w="13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68" w:type="dxa"/>
          </w:tcPr>
          <w:p/>
          <w:p>
            <w:pPr>
              <w:jc w:val="center"/>
            </w:pPr>
            <w:r>
              <w:rPr>
                <w:rFonts w:hint="eastAsia"/>
              </w:rPr>
              <w:t>其他报价5分</w:t>
            </w:r>
          </w:p>
        </w:tc>
        <w:tc>
          <w:tcPr>
            <w:tcW w:w="2455" w:type="dxa"/>
          </w:tcPr>
          <w:p>
            <w:r>
              <w:rPr>
                <w:rStyle w:val="15"/>
                <w:rFonts w:hint="default" w:asciiTheme="minorEastAsia" w:hAnsiTheme="minorEastAsia" w:eastAsiaTheme="minorEastAsia" w:cstheme="minorEastAsia"/>
                <w:lang w:bidi="ar"/>
              </w:rPr>
              <w:t>电费、水费及物业（卫生费用)</w:t>
            </w:r>
            <w:r>
              <w:rPr>
                <w:rFonts w:hint="eastAsia"/>
              </w:rPr>
              <w:t>最低的满分（单价每高0.1元扣1分)</w:t>
            </w:r>
          </w:p>
        </w:tc>
        <w:tc>
          <w:tcPr>
            <w:tcW w:w="1113" w:type="dxa"/>
          </w:tcPr>
          <w:p>
            <w:pPr>
              <w:jc w:val="center"/>
            </w:pPr>
            <w:r>
              <w:rPr>
                <w:rFonts w:hint="eastAsia"/>
              </w:rPr>
              <w:t xml:space="preserve"> </w:t>
            </w:r>
          </w:p>
        </w:tc>
        <w:tc>
          <w:tcPr>
            <w:tcW w:w="1004" w:type="dxa"/>
          </w:tcPr>
          <w:p/>
        </w:tc>
        <w:tc>
          <w:tcPr>
            <w:tcW w:w="1440" w:type="dxa"/>
          </w:tcPr>
          <w:p/>
        </w:tc>
        <w:tc>
          <w:tcPr>
            <w:tcW w:w="13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68" w:type="dxa"/>
          </w:tcPr>
          <w:p>
            <w:pPr>
              <w:jc w:val="center"/>
            </w:pPr>
            <w:r>
              <w:rPr>
                <w:rFonts w:hint="eastAsia"/>
              </w:rPr>
              <w:t>服务响应5分</w:t>
            </w:r>
          </w:p>
        </w:tc>
        <w:tc>
          <w:tcPr>
            <w:tcW w:w="2455" w:type="dxa"/>
          </w:tcPr>
          <w:p>
            <w:pPr>
              <w:rPr>
                <w:rFonts w:hint="eastAsia" w:eastAsiaTheme="minorEastAsia"/>
                <w:lang w:eastAsia="zh-CN"/>
              </w:rPr>
            </w:pPr>
            <w:r>
              <w:rPr>
                <w:rFonts w:hint="eastAsia"/>
              </w:rPr>
              <w:t>按照服务承诺及响应内容描述给</w:t>
            </w:r>
            <w:r>
              <w:rPr>
                <w:rFonts w:hint="eastAsia"/>
                <w:lang w:val="en-US" w:eastAsia="zh-CN"/>
              </w:rPr>
              <w:t>分</w:t>
            </w:r>
          </w:p>
        </w:tc>
        <w:tc>
          <w:tcPr>
            <w:tcW w:w="1113" w:type="dxa"/>
          </w:tcPr>
          <w:p/>
        </w:tc>
        <w:tc>
          <w:tcPr>
            <w:tcW w:w="1004" w:type="dxa"/>
          </w:tcPr>
          <w:p/>
        </w:tc>
        <w:tc>
          <w:tcPr>
            <w:tcW w:w="1440" w:type="dxa"/>
          </w:tcPr>
          <w:p/>
        </w:tc>
        <w:tc>
          <w:tcPr>
            <w:tcW w:w="13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68" w:type="dxa"/>
          </w:tcPr>
          <w:p>
            <w:pPr>
              <w:ind w:firstLine="420" w:firstLineChars="200"/>
            </w:pPr>
            <w:r>
              <w:rPr>
                <w:rFonts w:hint="eastAsia"/>
              </w:rPr>
              <w:t>合计</w:t>
            </w:r>
          </w:p>
        </w:tc>
        <w:tc>
          <w:tcPr>
            <w:tcW w:w="2455" w:type="dxa"/>
          </w:tcPr>
          <w:p/>
        </w:tc>
        <w:tc>
          <w:tcPr>
            <w:tcW w:w="1113" w:type="dxa"/>
          </w:tcPr>
          <w:p/>
        </w:tc>
        <w:tc>
          <w:tcPr>
            <w:tcW w:w="1004" w:type="dxa"/>
          </w:tcPr>
          <w:p/>
        </w:tc>
        <w:tc>
          <w:tcPr>
            <w:tcW w:w="1440" w:type="dxa"/>
          </w:tcPr>
          <w:p/>
        </w:tc>
        <w:tc>
          <w:tcPr>
            <w:tcW w:w="1342" w:type="dxa"/>
          </w:tcPr>
          <w:p/>
        </w:tc>
      </w:tr>
    </w:tbl>
    <w:p/>
    <w:p>
      <w:pPr>
        <w:pStyle w:val="2"/>
        <w:widowControl/>
        <w:spacing w:beforeAutospacing="0" w:afterAutospacing="0" w:line="360" w:lineRule="auto"/>
        <w:rPr>
          <w:rFonts w:hint="default" w:asciiTheme="minorEastAsia" w:hAnsiTheme="minorEastAsia" w:eastAsiaTheme="minorEastAsia" w:cstheme="minorEastAsia"/>
          <w:b w:val="0"/>
          <w:bCs/>
          <w:sz w:val="28"/>
          <w:szCs w:val="28"/>
        </w:rPr>
      </w:pPr>
      <w:r>
        <w:rPr>
          <w:rStyle w:val="11"/>
          <w:rFonts w:asciiTheme="minorEastAsia" w:hAnsiTheme="minorEastAsia" w:eastAsiaTheme="minorEastAsia" w:cstheme="minorEastAsia"/>
          <w:b w:val="0"/>
          <w:bCs/>
          <w:sz w:val="28"/>
          <w:szCs w:val="28"/>
        </w:rPr>
        <w:t>六、合同条款</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服务期限</w:t>
      </w:r>
      <w:r>
        <w:rPr>
          <w:rFonts w:hint="eastAsia" w:asciiTheme="minorEastAsia" w:hAnsiTheme="minorEastAsia" w:cstheme="minorEastAsia"/>
          <w:bCs/>
          <w:sz w:val="28"/>
          <w:szCs w:val="28"/>
        </w:rPr>
        <w:t>：</w:t>
      </w:r>
      <w:r>
        <w:rPr>
          <w:rFonts w:hint="eastAsia" w:asciiTheme="minorEastAsia" w:hAnsiTheme="minorEastAsia" w:cstheme="minorEastAsia"/>
          <w:bCs/>
          <w:sz w:val="28"/>
          <w:szCs w:val="28"/>
          <w:lang w:val="en-US" w:eastAsia="zh-CN"/>
        </w:rPr>
        <w:t>一年，服务期间无重大失误，</w:t>
      </w:r>
      <w:r>
        <w:rPr>
          <w:rFonts w:hint="eastAsia" w:asciiTheme="minorEastAsia" w:hAnsiTheme="minorEastAsia" w:cstheme="minorEastAsia"/>
          <w:bCs/>
          <w:sz w:val="28"/>
          <w:szCs w:val="28"/>
        </w:rPr>
        <w:t>合同续签，按照当年市场行情确认租赁房屋单价（甲方询价协商定价、原则上不高于已签订合同单价）。</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违约责任</w:t>
      </w:r>
      <w:r>
        <w:rPr>
          <w:rFonts w:hint="eastAsia" w:asciiTheme="minorEastAsia" w:hAnsiTheme="minorEastAsia" w:cstheme="minorEastAsia"/>
          <w:bCs/>
          <w:sz w:val="28"/>
          <w:szCs w:val="28"/>
        </w:rPr>
        <w:t>：转运及储存过程导致货物损毁需按货值出厂价赔偿。</w:t>
      </w:r>
    </w:p>
    <w:p>
      <w:pPr>
        <w:pStyle w:val="7"/>
        <w:widowControl/>
        <w:numPr>
          <w:ilvl w:val="0"/>
          <w:numId w:val="4"/>
        </w:numPr>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报价截止日期</w:t>
      </w:r>
    </w:p>
    <w:p>
      <w:pPr>
        <w:pStyle w:val="7"/>
        <w:widowControl/>
        <w:spacing w:beforeAutospacing="0" w:afterAutospacing="0"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2025年11月</w:t>
      </w:r>
      <w:r>
        <w:rPr>
          <w:rFonts w:hint="eastAsia" w:asciiTheme="minorEastAsia" w:hAnsiTheme="minorEastAsia" w:cstheme="minorEastAsia"/>
          <w:bCs/>
          <w:sz w:val="28"/>
          <w:szCs w:val="28"/>
          <w:lang w:val="en-US" w:eastAsia="zh-CN"/>
        </w:rPr>
        <w:t>3</w:t>
      </w:r>
      <w:r>
        <w:rPr>
          <w:rFonts w:hint="eastAsia" w:asciiTheme="minorEastAsia" w:hAnsiTheme="minorEastAsia" w:cstheme="minorEastAsia"/>
          <w:bCs/>
          <w:sz w:val="28"/>
          <w:szCs w:val="28"/>
        </w:rPr>
        <w:t>日</w:t>
      </w:r>
    </w:p>
    <w:p>
      <w:pPr>
        <w:pStyle w:val="7"/>
        <w:widowControl/>
        <w:spacing w:beforeAutospacing="0" w:afterAutospacing="0" w:line="360" w:lineRule="auto"/>
        <w:rPr>
          <w:rFonts w:asciiTheme="minorEastAsia" w:hAnsiTheme="minorEastAsia" w:cstheme="minorEastAsia"/>
          <w:bCs/>
          <w:sz w:val="28"/>
          <w:szCs w:val="28"/>
        </w:rPr>
      </w:pPr>
      <w:r>
        <w:rPr>
          <w:rStyle w:val="11"/>
          <w:rFonts w:hint="eastAsia" w:asciiTheme="minorEastAsia" w:hAnsiTheme="minorEastAsia" w:cstheme="minorEastAsia"/>
          <w:b w:val="0"/>
          <w:bCs/>
          <w:sz w:val="28"/>
          <w:szCs w:val="28"/>
        </w:rPr>
        <w:t>保密条款</w:t>
      </w:r>
      <w:r>
        <w:rPr>
          <w:rFonts w:hint="eastAsia" w:asciiTheme="minorEastAsia" w:hAnsiTheme="minorEastAsia" w:cstheme="minorEastAsia"/>
          <w:bCs/>
          <w:sz w:val="28"/>
          <w:szCs w:val="28"/>
        </w:rPr>
        <w:t>：签署保密协议，禁止泄露客户数据。</w:t>
      </w:r>
    </w:p>
    <w:p>
      <w:pPr>
        <w:spacing w:line="360" w:lineRule="auto"/>
        <w:jc w:val="left"/>
        <w:rPr>
          <w:rFonts w:asciiTheme="minorEastAsia" w:hAnsiTheme="minorEastAsia" w:cstheme="minorEastAsia"/>
          <w:bCs/>
          <w:sz w:val="28"/>
          <w:szCs w:val="28"/>
        </w:rPr>
      </w:pPr>
    </w:p>
    <w:p/>
    <w:p>
      <w:r>
        <w:rPr>
          <w:rFonts w:hint="eastAsia"/>
        </w:rPr>
        <w:t>附件：1报价表：</w:t>
      </w:r>
    </w:p>
    <w:p/>
    <w:tbl>
      <w:tblPr>
        <w:tblStyle w:val="8"/>
        <w:tblW w:w="8970" w:type="dxa"/>
        <w:tblInd w:w="-414" w:type="dxa"/>
        <w:tblLayout w:type="fixed"/>
        <w:tblCellMar>
          <w:top w:w="0" w:type="dxa"/>
          <w:left w:w="0" w:type="dxa"/>
          <w:bottom w:w="0" w:type="dxa"/>
          <w:right w:w="0" w:type="dxa"/>
        </w:tblCellMar>
      </w:tblPr>
      <w:tblGrid>
        <w:gridCol w:w="404"/>
        <w:gridCol w:w="1331"/>
        <w:gridCol w:w="1538"/>
        <w:gridCol w:w="1112"/>
        <w:gridCol w:w="1342"/>
        <w:gridCol w:w="1778"/>
        <w:gridCol w:w="1465"/>
      </w:tblGrid>
      <w:tr>
        <w:trPr>
          <w:trHeight w:val="514" w:hRule="atLeast"/>
        </w:trPr>
        <w:tc>
          <w:tcPr>
            <w:tcW w:w="8970" w:type="dxa"/>
            <w:gridSpan w:val="7"/>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中垦华山牧乳业有限公司承租库房报价表</w:t>
            </w:r>
          </w:p>
        </w:tc>
      </w:tr>
      <w:tr>
        <w:tblPrEx>
          <w:tblCellMar>
            <w:top w:w="0" w:type="dxa"/>
            <w:left w:w="0" w:type="dxa"/>
            <w:bottom w:w="0" w:type="dxa"/>
            <w:right w:w="0" w:type="dxa"/>
          </w:tblCellMar>
        </w:tblPrEx>
        <w:trPr>
          <w:trHeight w:val="924" w:hRule="atLeast"/>
        </w:trPr>
        <w:tc>
          <w:tcPr>
            <w:tcW w:w="404"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序号</w:t>
            </w:r>
          </w:p>
        </w:tc>
        <w:tc>
          <w:tcPr>
            <w:tcW w:w="1331"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报价单位名称</w:t>
            </w:r>
          </w:p>
        </w:tc>
        <w:tc>
          <w:tcPr>
            <w:tcW w:w="1538"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库房详细地址</w:t>
            </w:r>
          </w:p>
        </w:tc>
        <w:tc>
          <w:tcPr>
            <w:tcW w:w="111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Style w:val="13"/>
                <w:rFonts w:hint="default" w:asciiTheme="minorEastAsia" w:hAnsiTheme="minorEastAsia" w:eastAsiaTheme="minorEastAsia" w:cstheme="minorEastAsia"/>
                <w:sz w:val="24"/>
                <w:szCs w:val="24"/>
                <w:lang w:bidi="ar"/>
              </w:rPr>
              <w:t>面积（</w:t>
            </w:r>
            <w:r>
              <w:rPr>
                <w:rStyle w:val="14"/>
                <w:rFonts w:hint="eastAsia" w:asciiTheme="minorEastAsia" w:hAnsiTheme="minorEastAsia" w:eastAsiaTheme="minorEastAsia" w:cstheme="minorEastAsia"/>
                <w:sz w:val="24"/>
                <w:szCs w:val="24"/>
                <w:lang w:bidi="ar"/>
              </w:rPr>
              <w:t>㎡</w:t>
            </w:r>
            <w:r>
              <w:rPr>
                <w:rStyle w:val="13"/>
                <w:rFonts w:hint="default" w:asciiTheme="minorEastAsia" w:hAnsiTheme="minorEastAsia" w:eastAsiaTheme="minorEastAsia" w:cstheme="minorEastAsia"/>
                <w:sz w:val="24"/>
                <w:szCs w:val="24"/>
                <w:lang w:bidi="ar"/>
              </w:rPr>
              <w:t>)</w:t>
            </w:r>
          </w:p>
        </w:tc>
        <w:tc>
          <w:tcPr>
            <w:tcW w:w="1342"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单价（元）</w:t>
            </w:r>
          </w:p>
        </w:tc>
        <w:tc>
          <w:tcPr>
            <w:tcW w:w="1778"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付款方式</w:t>
            </w:r>
          </w:p>
        </w:tc>
        <w:tc>
          <w:tcPr>
            <w:tcW w:w="1465"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备 注</w:t>
            </w:r>
          </w:p>
        </w:tc>
      </w:tr>
      <w:tr>
        <w:tblPrEx>
          <w:tblCellMar>
            <w:top w:w="0" w:type="dxa"/>
            <w:left w:w="0" w:type="dxa"/>
            <w:bottom w:w="0" w:type="dxa"/>
            <w:right w:w="0" w:type="dxa"/>
          </w:tblCellMar>
        </w:tblPrEx>
        <w:trPr>
          <w:trHeight w:val="446"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Theme="minorEastAsia" w:hAnsiTheme="minorEastAsia" w:cstheme="minorEastAsia"/>
                <w:color w:val="000000"/>
                <w:sz w:val="24"/>
              </w:rPr>
            </w:pPr>
          </w:p>
        </w:tc>
      </w:tr>
      <w:tr>
        <w:tblPrEx>
          <w:tblCellMar>
            <w:top w:w="0" w:type="dxa"/>
            <w:left w:w="0" w:type="dxa"/>
            <w:bottom w:w="0" w:type="dxa"/>
            <w:right w:w="0" w:type="dxa"/>
          </w:tblCellMar>
        </w:tblPrEx>
        <w:trPr>
          <w:trHeight w:val="1657"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2</w:t>
            </w:r>
          </w:p>
        </w:tc>
        <w:tc>
          <w:tcPr>
            <w:tcW w:w="8566"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left"/>
              <w:textAlignment w:val="top"/>
              <w:rPr>
                <w:rFonts w:asciiTheme="minorEastAsia" w:hAnsiTheme="minorEastAsia" w:cstheme="minorEastAsia"/>
                <w:color w:val="000000"/>
                <w:sz w:val="24"/>
              </w:rPr>
            </w:pPr>
            <w:r>
              <w:rPr>
                <w:rStyle w:val="15"/>
                <w:rFonts w:hint="default" w:asciiTheme="minorEastAsia" w:hAnsiTheme="minorEastAsia" w:eastAsiaTheme="minorEastAsia" w:cstheme="minorEastAsia"/>
                <w:lang w:bidi="ar"/>
              </w:rPr>
              <w:t>备注：                                                                                                               1、以上报价含</w:t>
            </w:r>
            <w:r>
              <w:rPr>
                <w:rStyle w:val="15"/>
                <w:rFonts w:hint="default" w:asciiTheme="minorEastAsia" w:hAnsiTheme="minorEastAsia" w:eastAsiaTheme="minorEastAsia" w:cstheme="minorEastAsia"/>
                <w:u w:val="single"/>
                <w:lang w:bidi="ar"/>
              </w:rPr>
              <w:t xml:space="preserve">     </w:t>
            </w:r>
            <w:r>
              <w:rPr>
                <w:rStyle w:val="15"/>
                <w:rFonts w:hint="default" w:asciiTheme="minorEastAsia" w:hAnsiTheme="minorEastAsia" w:eastAsiaTheme="minorEastAsia" w:cstheme="minorEastAsia"/>
                <w:lang w:bidi="ar"/>
              </w:rPr>
              <w:t>%增值税专用发票。</w:t>
            </w:r>
            <w:r>
              <w:rPr>
                <w:rStyle w:val="15"/>
                <w:rFonts w:hint="default" w:asciiTheme="minorEastAsia" w:hAnsiTheme="minorEastAsia" w:eastAsiaTheme="minorEastAsia" w:cstheme="minorEastAsia"/>
                <w:lang w:bidi="ar"/>
              </w:rPr>
              <w:br w:type="textWrapping"/>
            </w:r>
            <w:r>
              <w:rPr>
                <w:rStyle w:val="15"/>
                <w:rFonts w:hint="default" w:asciiTheme="minorEastAsia" w:hAnsiTheme="minorEastAsia" w:eastAsiaTheme="minorEastAsia" w:cstheme="minorEastAsia"/>
                <w:lang w:bidi="ar"/>
              </w:rPr>
              <w:t>2、按照电表实际使用数量</w:t>
            </w:r>
            <w:r>
              <w:rPr>
                <w:rStyle w:val="15"/>
                <w:rFonts w:hint="default" w:asciiTheme="minorEastAsia" w:hAnsiTheme="minorEastAsia" w:eastAsiaTheme="minorEastAsia" w:cstheme="minorEastAsia"/>
                <w:u w:val="single"/>
                <w:lang w:bidi="ar"/>
              </w:rPr>
              <w:t xml:space="preserve">      </w:t>
            </w:r>
            <w:r>
              <w:rPr>
                <w:rStyle w:val="15"/>
                <w:rFonts w:hint="default" w:asciiTheme="minorEastAsia" w:hAnsiTheme="minorEastAsia" w:eastAsiaTheme="minorEastAsia" w:cstheme="minorEastAsia"/>
                <w:lang w:bidi="ar"/>
              </w:rPr>
              <w:t>元/度；水费及物业（卫生费用)</w:t>
            </w:r>
            <w:r>
              <w:rPr>
                <w:rStyle w:val="15"/>
                <w:rFonts w:hint="default" w:asciiTheme="minorEastAsia" w:hAnsiTheme="minorEastAsia" w:eastAsiaTheme="minorEastAsia" w:cstheme="minorEastAsia"/>
                <w:u w:val="single"/>
                <w:lang w:bidi="ar"/>
              </w:rPr>
              <w:t xml:space="preserve">      </w:t>
            </w:r>
            <w:r>
              <w:rPr>
                <w:rStyle w:val="15"/>
                <w:rFonts w:hint="default" w:asciiTheme="minorEastAsia" w:hAnsiTheme="minorEastAsia" w:eastAsiaTheme="minorEastAsia" w:cstheme="minorEastAsia"/>
                <w:lang w:bidi="ar"/>
              </w:rPr>
              <w:t xml:space="preserve">元/月。                                                                                            3、是否提供（在线监控、虫鼠害控制实施、叉车充电桩）。                                                                   4  其他。                                                           </w:t>
            </w:r>
          </w:p>
        </w:tc>
      </w:tr>
      <w:tr>
        <w:tblPrEx>
          <w:tblCellMar>
            <w:top w:w="0" w:type="dxa"/>
            <w:left w:w="0" w:type="dxa"/>
            <w:bottom w:w="0" w:type="dxa"/>
            <w:right w:w="0" w:type="dxa"/>
          </w:tblCellMar>
        </w:tblPrEx>
        <w:trPr>
          <w:trHeight w:val="305"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331"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538"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112"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342"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778"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465"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r>
      <w:tr>
        <w:tblPrEx>
          <w:tblCellMar>
            <w:top w:w="0" w:type="dxa"/>
            <w:left w:w="0" w:type="dxa"/>
            <w:bottom w:w="0" w:type="dxa"/>
            <w:right w:w="0" w:type="dxa"/>
          </w:tblCellMar>
        </w:tblPrEx>
        <w:trPr>
          <w:trHeight w:val="801"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331"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538"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112"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4585" w:type="dxa"/>
            <w:gridSpan w:val="3"/>
            <w:tcBorders>
              <w:top w:val="nil"/>
              <w:left w:val="nil"/>
              <w:bottom w:val="nil"/>
              <w:right w:val="nil"/>
            </w:tcBorders>
            <w:shd w:val="clear" w:color="auto" w:fill="auto"/>
            <w:noWrap/>
            <w:tcMar>
              <w:top w:w="12" w:type="dxa"/>
              <w:left w:w="12" w:type="dxa"/>
              <w:right w:w="12" w:type="dxa"/>
            </w:tcMar>
            <w:vAlign w:val="center"/>
          </w:tcPr>
          <w:p>
            <w:pPr>
              <w:widowControl/>
              <w:textAlignment w:val="center"/>
              <w:rPr>
                <w:rFonts w:ascii="黑体" w:hAnsi="宋体" w:eastAsia="黑体" w:cs="黑体"/>
                <w:color w:val="000000"/>
                <w:sz w:val="24"/>
              </w:rPr>
            </w:pPr>
            <w:r>
              <w:rPr>
                <w:rFonts w:hint="eastAsia" w:ascii="黑体" w:hAnsi="宋体" w:eastAsia="黑体" w:cs="黑体"/>
                <w:color w:val="000000"/>
                <w:kern w:val="0"/>
                <w:sz w:val="24"/>
                <w:lang w:bidi="ar"/>
              </w:rPr>
              <w:t>报价单位：</w:t>
            </w:r>
            <w:r>
              <w:rPr>
                <w:rFonts w:hint="eastAsia" w:ascii="黑体" w:hAnsi="宋体" w:eastAsia="黑体" w:cs="黑体"/>
                <w:color w:val="000000"/>
                <w:kern w:val="0"/>
                <w:szCs w:val="21"/>
                <w:lang w:bidi="ar"/>
              </w:rPr>
              <w:t>加盖公章</w:t>
            </w:r>
          </w:p>
        </w:tc>
      </w:tr>
      <w:tr>
        <w:tblPrEx>
          <w:tblCellMar>
            <w:top w:w="0" w:type="dxa"/>
            <w:left w:w="0" w:type="dxa"/>
            <w:bottom w:w="0" w:type="dxa"/>
            <w:right w:w="0" w:type="dxa"/>
          </w:tblCellMar>
        </w:tblPrEx>
        <w:trPr>
          <w:trHeight w:val="613" w:hRule="atLeast"/>
        </w:trPr>
        <w:tc>
          <w:tcPr>
            <w:tcW w:w="404"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331" w:type="dxa"/>
            <w:tcBorders>
              <w:top w:val="nil"/>
              <w:left w:val="nil"/>
              <w:bottom w:val="nil"/>
              <w:right w:val="nil"/>
            </w:tcBorders>
            <w:shd w:val="clear" w:color="auto" w:fill="auto"/>
            <w:noWrap/>
            <w:tcMar>
              <w:top w:w="12" w:type="dxa"/>
              <w:left w:w="12" w:type="dxa"/>
              <w:right w:w="12" w:type="dxa"/>
            </w:tcMar>
            <w:vAlign w:val="center"/>
          </w:tcPr>
          <w:p>
            <w:pPr>
              <w:jc w:val="center"/>
              <w:rPr>
                <w:rFonts w:ascii="宋体" w:hAnsi="宋体" w:cs="宋体"/>
                <w:color w:val="000000"/>
                <w:sz w:val="24"/>
              </w:rPr>
            </w:pPr>
          </w:p>
        </w:tc>
        <w:tc>
          <w:tcPr>
            <w:tcW w:w="1538"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1112" w:type="dxa"/>
            <w:tcBorders>
              <w:top w:val="nil"/>
              <w:left w:val="nil"/>
              <w:bottom w:val="nil"/>
              <w:right w:val="nil"/>
            </w:tcBorders>
            <w:shd w:val="clear" w:color="auto" w:fill="auto"/>
            <w:noWrap/>
            <w:tcMar>
              <w:top w:w="12" w:type="dxa"/>
              <w:left w:w="12" w:type="dxa"/>
              <w:right w:w="12" w:type="dxa"/>
            </w:tcMar>
            <w:vAlign w:val="center"/>
          </w:tcPr>
          <w:p>
            <w:pPr>
              <w:jc w:val="center"/>
              <w:rPr>
                <w:rFonts w:ascii="黑体" w:hAnsi="宋体" w:eastAsia="黑体" w:cs="黑体"/>
                <w:color w:val="000000"/>
                <w:sz w:val="24"/>
              </w:rPr>
            </w:pPr>
          </w:p>
        </w:tc>
        <w:tc>
          <w:tcPr>
            <w:tcW w:w="4585" w:type="dxa"/>
            <w:gridSpan w:val="3"/>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日期</w:t>
            </w:r>
          </w:p>
        </w:tc>
      </w:tr>
    </w:tbl>
    <w:p/>
    <w:p/>
    <w:p>
      <w:r>
        <w:rPr>
          <w:rFonts w:hint="eastAsia"/>
        </w:rPr>
        <w:t>附件：2</w:t>
      </w:r>
    </w:p>
    <w:p/>
    <w:p>
      <w:pPr>
        <w:jc w:val="center"/>
        <w:rPr>
          <w:sz w:val="32"/>
          <w:szCs w:val="32"/>
        </w:rPr>
      </w:pPr>
      <w:r>
        <w:rPr>
          <w:rFonts w:hint="eastAsia"/>
          <w:sz w:val="32"/>
          <w:szCs w:val="32"/>
        </w:rPr>
        <w:t>营业执照</w:t>
      </w:r>
    </w:p>
    <w:p>
      <w:pPr>
        <w:rPr>
          <w:sz w:val="24"/>
        </w:rPr>
      </w:pPr>
    </w:p>
    <w:p>
      <w:pPr>
        <w:rPr>
          <w:sz w:val="32"/>
          <w:szCs w:val="32"/>
        </w:rPr>
      </w:pPr>
      <w:r>
        <w:rPr>
          <w:rFonts w:hint="eastAsia"/>
          <w:sz w:val="24"/>
        </w:rPr>
        <w:t>附件：3</w:t>
      </w:r>
    </w:p>
    <w:p>
      <w:pPr>
        <w:jc w:val="center"/>
        <w:rPr>
          <w:sz w:val="32"/>
          <w:szCs w:val="32"/>
        </w:rPr>
      </w:pPr>
      <w:r>
        <w:rPr>
          <w:rFonts w:hint="eastAsia"/>
          <w:sz w:val="32"/>
          <w:szCs w:val="32"/>
        </w:rPr>
        <w:t>租赁库房产权证明（或者租赁合同）</w:t>
      </w:r>
    </w:p>
    <w:p>
      <w:pPr>
        <w:spacing w:line="360" w:lineRule="auto"/>
        <w:jc w:val="left"/>
        <w:rPr>
          <w:rFonts w:asciiTheme="minorEastAsia" w:hAnsiTheme="minorEastAsia" w:cstheme="minorEastAsia"/>
          <w:bCs/>
          <w:sz w:val="28"/>
          <w:szCs w:val="28"/>
        </w:rPr>
      </w:pPr>
      <w:r>
        <w:rPr>
          <w:rFonts w:hint="eastAsia" w:asciiTheme="minorEastAsia" w:hAnsiTheme="minorEastAsia" w:cstheme="minorEastAsia"/>
          <w:bCs/>
          <w:sz w:val="28"/>
          <w:szCs w:val="28"/>
        </w:rPr>
        <w:t>附件：4</w:t>
      </w:r>
    </w:p>
    <w:p>
      <w:pPr>
        <w:spacing w:line="360" w:lineRule="auto"/>
        <w:ind w:firstLine="2240" w:firstLineChars="700"/>
        <w:jc w:val="left"/>
        <w:rPr>
          <w:rFonts w:asciiTheme="minorEastAsia" w:hAnsiTheme="minorEastAsia" w:cstheme="minorEastAsia"/>
          <w:bCs/>
          <w:sz w:val="32"/>
          <w:szCs w:val="32"/>
        </w:rPr>
      </w:pPr>
      <w:r>
        <w:rPr>
          <w:rFonts w:hint="eastAsia" w:asciiTheme="minorEastAsia" w:hAnsiTheme="minorEastAsia" w:cstheme="minorEastAsia"/>
          <w:bCs/>
          <w:sz w:val="32"/>
          <w:szCs w:val="32"/>
        </w:rPr>
        <w:t>企业信用报告（企查查）</w:t>
      </w:r>
    </w:p>
    <w:p>
      <w:pPr>
        <w:spacing w:line="360" w:lineRule="auto"/>
        <w:jc w:val="left"/>
        <w:rPr>
          <w:rFonts w:asciiTheme="minorEastAsia" w:hAnsiTheme="minorEastAsia" w:cstheme="minorEastAsia"/>
          <w:bCs/>
          <w:sz w:val="32"/>
          <w:szCs w:val="32"/>
        </w:rPr>
      </w:pPr>
      <w:r>
        <w:rPr>
          <w:rFonts w:hint="eastAsia" w:asciiTheme="minorEastAsia" w:hAnsiTheme="minorEastAsia" w:cstheme="minorEastAsia"/>
          <w:bCs/>
          <w:sz w:val="32"/>
          <w:szCs w:val="32"/>
        </w:rPr>
        <w:t>附件：5</w:t>
      </w:r>
    </w:p>
    <w:p>
      <w:pPr>
        <w:spacing w:line="360" w:lineRule="auto"/>
        <w:ind w:firstLine="1280" w:firstLineChars="400"/>
        <w:jc w:val="left"/>
        <w:rPr>
          <w:rFonts w:asciiTheme="minorEastAsia" w:hAnsiTheme="minorEastAsia" w:cstheme="minorEastAsia"/>
          <w:bCs/>
          <w:sz w:val="32"/>
          <w:szCs w:val="32"/>
        </w:rPr>
      </w:pPr>
      <w:r>
        <w:rPr>
          <w:rFonts w:hint="eastAsia" w:asciiTheme="minorEastAsia" w:hAnsiTheme="minorEastAsia" w:cstheme="minorEastAsia"/>
          <w:bCs/>
          <w:sz w:val="32"/>
          <w:szCs w:val="32"/>
        </w:rPr>
        <w:t>现场照片（库内、库外）至少各一张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8FE06A"/>
    <w:multiLevelType w:val="singleLevel"/>
    <w:tmpl w:val="A38FE06A"/>
    <w:lvl w:ilvl="0" w:tentative="0">
      <w:start w:val="1"/>
      <w:numFmt w:val="decimal"/>
      <w:suff w:val="nothing"/>
      <w:lvlText w:val="%1、"/>
      <w:lvlJc w:val="left"/>
    </w:lvl>
  </w:abstractNum>
  <w:abstractNum w:abstractNumId="1">
    <w:nsid w:val="F2D216CB"/>
    <w:multiLevelType w:val="singleLevel"/>
    <w:tmpl w:val="F2D216CB"/>
    <w:lvl w:ilvl="0" w:tentative="0">
      <w:start w:val="1"/>
      <w:numFmt w:val="chineseCounting"/>
      <w:suff w:val="nothing"/>
      <w:lvlText w:val="%1、"/>
      <w:lvlJc w:val="left"/>
      <w:rPr>
        <w:rFonts w:hint="eastAsia"/>
      </w:rPr>
    </w:lvl>
  </w:abstractNum>
  <w:abstractNum w:abstractNumId="2">
    <w:nsid w:val="2D3BF3D0"/>
    <w:multiLevelType w:val="singleLevel"/>
    <w:tmpl w:val="2D3BF3D0"/>
    <w:lvl w:ilvl="0" w:tentative="0">
      <w:start w:val="7"/>
      <w:numFmt w:val="chineseCounting"/>
      <w:suff w:val="nothing"/>
      <w:lvlText w:val="%1、"/>
      <w:lvlJc w:val="left"/>
      <w:rPr>
        <w:rFonts w:hint="eastAsia"/>
      </w:rPr>
    </w:lvl>
  </w:abstractNum>
  <w:abstractNum w:abstractNumId="3">
    <w:nsid w:val="415B53EA"/>
    <w:multiLevelType w:val="singleLevel"/>
    <w:tmpl w:val="415B53EA"/>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64584"/>
    <w:rsid w:val="00087E85"/>
    <w:rsid w:val="0065032B"/>
    <w:rsid w:val="00764A3E"/>
    <w:rsid w:val="00812636"/>
    <w:rsid w:val="008A3C0B"/>
    <w:rsid w:val="008C03E4"/>
    <w:rsid w:val="00961629"/>
    <w:rsid w:val="00AA23B6"/>
    <w:rsid w:val="00EF6192"/>
    <w:rsid w:val="09627AF4"/>
    <w:rsid w:val="0AC81E72"/>
    <w:rsid w:val="0C5B3781"/>
    <w:rsid w:val="0D47772E"/>
    <w:rsid w:val="0E55562E"/>
    <w:rsid w:val="0F24788A"/>
    <w:rsid w:val="0F473B47"/>
    <w:rsid w:val="131F04B0"/>
    <w:rsid w:val="14855E79"/>
    <w:rsid w:val="18B01132"/>
    <w:rsid w:val="19275BEB"/>
    <w:rsid w:val="1CB37AC3"/>
    <w:rsid w:val="1CED0BCC"/>
    <w:rsid w:val="1DA828E6"/>
    <w:rsid w:val="1DC81F8A"/>
    <w:rsid w:val="1DEB47CA"/>
    <w:rsid w:val="20707FD8"/>
    <w:rsid w:val="20BB2265"/>
    <w:rsid w:val="217D41E6"/>
    <w:rsid w:val="2376638E"/>
    <w:rsid w:val="238D7471"/>
    <w:rsid w:val="23C824C1"/>
    <w:rsid w:val="2895522E"/>
    <w:rsid w:val="2E964584"/>
    <w:rsid w:val="2EE4137C"/>
    <w:rsid w:val="3BFA1CC7"/>
    <w:rsid w:val="449E4C05"/>
    <w:rsid w:val="44CB3B1B"/>
    <w:rsid w:val="46B551B3"/>
    <w:rsid w:val="470B3844"/>
    <w:rsid w:val="48AA61CF"/>
    <w:rsid w:val="4F9C3151"/>
    <w:rsid w:val="4FE539D4"/>
    <w:rsid w:val="50A402B3"/>
    <w:rsid w:val="50D45BB6"/>
    <w:rsid w:val="529E1AF1"/>
    <w:rsid w:val="57425CBD"/>
    <w:rsid w:val="57950954"/>
    <w:rsid w:val="596A6E15"/>
    <w:rsid w:val="5C237951"/>
    <w:rsid w:val="5CF37395"/>
    <w:rsid w:val="5EDA70DE"/>
    <w:rsid w:val="5F462C45"/>
    <w:rsid w:val="5FE64A80"/>
    <w:rsid w:val="609A7C39"/>
    <w:rsid w:val="6292764A"/>
    <w:rsid w:val="630E6AAA"/>
    <w:rsid w:val="63C610ED"/>
    <w:rsid w:val="65B235A6"/>
    <w:rsid w:val="67371E04"/>
    <w:rsid w:val="67592FAC"/>
    <w:rsid w:val="6765732C"/>
    <w:rsid w:val="6BED08E3"/>
    <w:rsid w:val="6F0A4A62"/>
    <w:rsid w:val="6FCD52A0"/>
    <w:rsid w:val="71EE36C0"/>
    <w:rsid w:val="72A35BEB"/>
    <w:rsid w:val="73386816"/>
    <w:rsid w:val="76D66002"/>
    <w:rsid w:val="778435D9"/>
    <w:rsid w:val="7915414E"/>
    <w:rsid w:val="7DC85065"/>
    <w:rsid w:val="7DF445FB"/>
    <w:rsid w:val="7E56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font51"/>
    <w:basedOn w:val="10"/>
    <w:qFormat/>
    <w:uiPriority w:val="0"/>
    <w:rPr>
      <w:rFonts w:hint="eastAsia" w:ascii="黑体" w:hAnsi="宋体" w:eastAsia="黑体" w:cs="黑体"/>
      <w:color w:val="000000"/>
      <w:sz w:val="32"/>
      <w:szCs w:val="32"/>
      <w:u w:val="none"/>
    </w:rPr>
  </w:style>
  <w:style w:type="character" w:customStyle="1" w:styleId="14">
    <w:name w:val="font21"/>
    <w:basedOn w:val="10"/>
    <w:qFormat/>
    <w:uiPriority w:val="0"/>
    <w:rPr>
      <w:rFonts w:ascii="宋体" w:hAnsi="宋体" w:eastAsia="宋体" w:cs="宋体"/>
      <w:color w:val="000000"/>
      <w:sz w:val="32"/>
      <w:szCs w:val="32"/>
      <w:u w:val="none"/>
    </w:rPr>
  </w:style>
  <w:style w:type="character" w:customStyle="1" w:styleId="15">
    <w:name w:val="font41"/>
    <w:basedOn w:val="10"/>
    <w:qFormat/>
    <w:uiPriority w:val="0"/>
    <w:rPr>
      <w:rFonts w:hint="eastAsia" w:ascii="黑体" w:hAnsi="宋体" w:eastAsia="黑体" w:cs="黑体"/>
      <w:color w:val="000000"/>
      <w:sz w:val="24"/>
      <w:szCs w:val="24"/>
      <w:u w:val="none"/>
    </w:rPr>
  </w:style>
  <w:style w:type="paragraph" w:customStyle="1" w:styleId="16">
    <w:name w:val="_正文段落"/>
    <w:basedOn w:val="1"/>
    <w:qFormat/>
    <w:uiPriority w:val="0"/>
    <w:pPr>
      <w:spacing w:beforeLines="15"/>
    </w:pPr>
  </w:style>
  <w:style w:type="character" w:customStyle="1" w:styleId="17">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346</Words>
  <Characters>1975</Characters>
  <Lines>16</Lines>
  <Paragraphs>4</Paragraphs>
  <TotalTime>7</TotalTime>
  <ScaleCrop>false</ScaleCrop>
  <LinksUpToDate>false</LinksUpToDate>
  <CharactersWithSpaces>2317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2025-10-13T02:55:00Z</dcterms:created>
  <dc:creator>李文</dc:creator>
  <cp:lastModifiedBy>JX</cp:lastModifiedBy>
  <dcterms:modified xsi:type="dcterms:W3CDTF">2025-10-30T00:44:44Z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eyJoZGlkIjoiMTE2MzVhMGFkYmViMjFlYjEwZDE0NDhhM2ZiYTU1Y2YiLCJ1c2VySWQiOiI3NTQ4MTc2MDEifQ==</vt:lpwstr>
  </property>
  <property fmtid="{D5CDD505-2E9C-101B-9397-08002B2CF9AE}" pid="4" name="ICV">
    <vt:lpwstr>ACB77CEE007845DAB30A99C2CC5AAA8C_13</vt:lpwstr>
  </property>
</Properties>
</file>