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hAnsi="方正小标宋_GBK" w:eastAsia="方正小标宋_GBK" w:cs="方正小标宋_GBK"/>
          <w:sz w:val="44"/>
          <w:szCs w:val="44"/>
        </w:rPr>
      </w:pPr>
      <w:bookmarkStart w:id="5" w:name="_GoBack"/>
      <w:bookmarkEnd w:id="5"/>
      <w:r>
        <w:rPr>
          <w:rFonts w:hint="eastAsia" w:ascii="方正小标宋_GBK" w:hAnsi="方正小标宋_GBK" w:eastAsia="方正小标宋_GBK" w:cs="方正小标宋_GBK"/>
          <w:sz w:val="44"/>
          <w:szCs w:val="44"/>
        </w:rPr>
        <w:t>中垦华山牧乳业有限公司</w:t>
      </w:r>
    </w:p>
    <w:p>
      <w:pPr>
        <w:widowControl/>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陕西省及周边省市</w:t>
      </w:r>
    </w:p>
    <w:p>
      <w:pPr>
        <w:widowControl/>
        <w:jc w:val="center"/>
        <w:rPr>
          <w:rFonts w:ascii="方正黑体_GBK" w:hAnsi="方正黑体_GBK" w:eastAsia="方正黑体_GBK" w:cs="方正黑体_GBK"/>
          <w:bCs/>
          <w:kern w:val="0"/>
          <w:sz w:val="48"/>
          <w:szCs w:val="48"/>
        </w:rPr>
      </w:pPr>
      <w:r>
        <w:rPr>
          <w:rFonts w:hint="eastAsia" w:ascii="方正小标宋_GBK" w:hAnsi="方正小标宋_GBK" w:eastAsia="方正小标宋_GBK" w:cs="方正小标宋_GBK"/>
          <w:sz w:val="44"/>
          <w:szCs w:val="44"/>
        </w:rPr>
        <w:t>产品物流配送服务</w:t>
      </w:r>
      <w:r>
        <w:rPr>
          <w:rFonts w:hint="eastAsia" w:ascii="方正黑体_GBK" w:hAnsi="方正黑体_GBK" w:eastAsia="方正黑体_GBK" w:cs="方正黑体_GBK"/>
          <w:bCs/>
          <w:kern w:val="0"/>
          <w:sz w:val="48"/>
          <w:szCs w:val="48"/>
        </w:rPr>
        <w:t>项目</w:t>
      </w:r>
    </w:p>
    <w:p>
      <w:pPr>
        <w:widowControl/>
        <w:rPr>
          <w:rFonts w:ascii="方正黑体_GBK" w:hAnsi="方正黑体_GBK" w:eastAsia="方正黑体_GBK" w:cs="方正黑体_GBK"/>
          <w:bCs/>
          <w:kern w:val="0"/>
          <w:sz w:val="44"/>
          <w:szCs w:val="44"/>
        </w:rPr>
      </w:pPr>
    </w:p>
    <w:p>
      <w:pPr>
        <w:widowControl/>
        <w:jc w:val="center"/>
        <w:rPr>
          <w:rFonts w:hint="eastAsia" w:ascii="方正黑体_GBK" w:hAnsi="方正黑体_GBK" w:eastAsia="方正黑体_GBK" w:cs="方正黑体_GBK"/>
          <w:bCs/>
          <w:kern w:val="0"/>
          <w:sz w:val="72"/>
          <w:szCs w:val="72"/>
          <w:lang w:val="en-US" w:eastAsia="zh-CN"/>
        </w:rPr>
      </w:pPr>
      <w:r>
        <w:rPr>
          <w:rFonts w:hint="eastAsia" w:ascii="方正黑体_GBK" w:hAnsi="方正黑体_GBK" w:eastAsia="方正黑体_GBK" w:cs="方正黑体_GBK"/>
          <w:bCs/>
          <w:kern w:val="0"/>
          <w:sz w:val="72"/>
          <w:szCs w:val="72"/>
          <w:lang w:val="en-US" w:eastAsia="zh-CN"/>
        </w:rPr>
        <w:t>公</w:t>
      </w:r>
    </w:p>
    <w:p>
      <w:pPr>
        <w:widowControl/>
        <w:jc w:val="center"/>
        <w:rPr>
          <w:rFonts w:hint="eastAsia" w:ascii="方正黑体_GBK" w:hAnsi="方正黑体_GBK" w:eastAsia="方正黑体_GBK" w:cs="方正黑体_GBK"/>
          <w:bCs/>
          <w:kern w:val="0"/>
          <w:sz w:val="72"/>
          <w:szCs w:val="72"/>
          <w:lang w:val="en-US" w:eastAsia="zh-CN"/>
        </w:rPr>
      </w:pPr>
      <w:r>
        <w:rPr>
          <w:rFonts w:hint="eastAsia" w:ascii="方正黑体_GBK" w:hAnsi="方正黑体_GBK" w:eastAsia="方正黑体_GBK" w:cs="方正黑体_GBK"/>
          <w:bCs/>
          <w:kern w:val="0"/>
          <w:sz w:val="72"/>
          <w:szCs w:val="72"/>
          <w:lang w:val="en-US" w:eastAsia="zh-CN"/>
        </w:rPr>
        <w:t>开</w:t>
      </w: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比</w:t>
      </w: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选</w:t>
      </w:r>
    </w:p>
    <w:p>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文</w:t>
      </w:r>
    </w:p>
    <w:p>
      <w:pPr>
        <w:widowControl/>
        <w:jc w:val="center"/>
        <w:rPr>
          <w:rFonts w:ascii="方正黑体_GBK" w:hAnsi="方正黑体_GBK" w:eastAsia="方正黑体_GBK" w:cs="方正黑体_GBK"/>
          <w:bCs/>
          <w:kern w:val="0"/>
          <w:sz w:val="72"/>
          <w:szCs w:val="72"/>
          <w:lang w:val="zh-CN"/>
        </w:rPr>
      </w:pPr>
      <w:r>
        <w:rPr>
          <w:rFonts w:hint="eastAsia" w:ascii="方正黑体_GBK" w:hAnsi="方正黑体_GBK" w:eastAsia="方正黑体_GBK" w:cs="方正黑体_GBK"/>
          <w:bCs/>
          <w:kern w:val="0"/>
          <w:sz w:val="72"/>
          <w:szCs w:val="72"/>
        </w:rPr>
        <w:t>件</w:t>
      </w:r>
    </w:p>
    <w:p>
      <w:pPr>
        <w:autoSpaceDE w:val="0"/>
        <w:autoSpaceDN w:val="0"/>
        <w:adjustRightInd w:val="0"/>
        <w:spacing w:line="560" w:lineRule="exact"/>
        <w:jc w:val="center"/>
        <w:rPr>
          <w:rFonts w:ascii="方正黑体_GBK" w:hAnsi="方正黑体_GBK" w:eastAsia="方正黑体_GBK" w:cs="方正黑体_GBK"/>
          <w:bCs/>
          <w:kern w:val="0"/>
          <w:sz w:val="72"/>
          <w:szCs w:val="72"/>
          <w:lang w:val="zh-CN"/>
        </w:rPr>
      </w:pPr>
    </w:p>
    <w:p>
      <w:pPr>
        <w:autoSpaceDE w:val="0"/>
        <w:autoSpaceDN w:val="0"/>
        <w:adjustRightInd w:val="0"/>
        <w:spacing w:line="560" w:lineRule="exact"/>
        <w:jc w:val="both"/>
        <w:rPr>
          <w:rFonts w:ascii="方正黑体_GBK" w:hAnsi="方正黑体_GBK" w:eastAsia="方正黑体_GBK" w:cs="方正黑体_GBK"/>
          <w:bCs/>
          <w:kern w:val="0"/>
          <w:sz w:val="44"/>
          <w:szCs w:val="44"/>
        </w:rPr>
      </w:pPr>
    </w:p>
    <w:p>
      <w:pPr>
        <w:autoSpaceDE w:val="0"/>
        <w:autoSpaceDN w:val="0"/>
        <w:adjustRightInd w:val="0"/>
        <w:spacing w:line="560" w:lineRule="exact"/>
        <w:jc w:val="center"/>
        <w:rPr>
          <w:rFonts w:ascii="方正黑体_GBK" w:hAnsi="方正黑体_GBK" w:eastAsia="方正黑体_GBK" w:cs="方正黑体_GBK"/>
          <w:bCs/>
          <w:kern w:val="0"/>
          <w:sz w:val="44"/>
          <w:szCs w:val="44"/>
        </w:rPr>
      </w:pPr>
      <w:r>
        <w:rPr>
          <w:rFonts w:hint="eastAsia" w:ascii="方正黑体_GBK" w:hAnsi="方正黑体_GBK" w:eastAsia="方正黑体_GBK" w:cs="方正黑体_GBK"/>
          <w:bCs/>
          <w:kern w:val="0"/>
          <w:sz w:val="44"/>
          <w:szCs w:val="44"/>
        </w:rPr>
        <w:t>202</w:t>
      </w:r>
      <w:r>
        <w:rPr>
          <w:rFonts w:hint="eastAsia" w:ascii="方正黑体_GBK" w:hAnsi="方正黑体_GBK" w:eastAsia="方正黑体_GBK" w:cs="方正黑体_GBK"/>
          <w:bCs/>
          <w:kern w:val="0"/>
          <w:sz w:val="44"/>
          <w:szCs w:val="44"/>
          <w:lang w:val="en-US" w:eastAsia="zh-CN"/>
        </w:rPr>
        <w:t>5</w:t>
      </w:r>
      <w:r>
        <w:rPr>
          <w:rFonts w:hint="eastAsia" w:ascii="方正黑体_GBK" w:hAnsi="方正黑体_GBK" w:eastAsia="方正黑体_GBK" w:cs="方正黑体_GBK"/>
          <w:bCs/>
          <w:kern w:val="0"/>
          <w:sz w:val="44"/>
          <w:szCs w:val="44"/>
        </w:rPr>
        <w:t>年</w:t>
      </w:r>
      <w:r>
        <w:rPr>
          <w:rFonts w:hint="eastAsia" w:ascii="方正黑体_GBK" w:hAnsi="方正黑体_GBK" w:eastAsia="方正黑体_GBK" w:cs="方正黑体_GBK"/>
          <w:bCs/>
          <w:kern w:val="0"/>
          <w:sz w:val="44"/>
          <w:szCs w:val="44"/>
          <w:lang w:val="en-US" w:eastAsia="zh-CN"/>
        </w:rPr>
        <w:t>11</w:t>
      </w:r>
      <w:r>
        <w:rPr>
          <w:rFonts w:hint="eastAsia" w:ascii="方正黑体_GBK" w:hAnsi="方正黑体_GBK" w:eastAsia="方正黑体_GBK" w:cs="方正黑体_GBK"/>
          <w:bCs/>
          <w:kern w:val="0"/>
          <w:sz w:val="44"/>
          <w:szCs w:val="44"/>
        </w:rPr>
        <w:t>月</w:t>
      </w:r>
    </w:p>
    <w:p>
      <w:pPr>
        <w:tabs>
          <w:tab w:val="center" w:pos="4596"/>
        </w:tabs>
        <w:jc w:val="left"/>
        <w:rPr>
          <w:lang w:val="zh-CN"/>
        </w:rPr>
        <w:sectPr>
          <w:headerReference r:id="rId3" w:type="default"/>
          <w:footerReference r:id="rId4" w:type="default"/>
          <w:footerReference r:id="rId5" w:type="even"/>
          <w:pgSz w:w="11906" w:h="16838"/>
          <w:pgMar w:top="1440" w:right="1274" w:bottom="1440" w:left="1440"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第一部分：供应商须知</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一、发标公司名称</w:t>
      </w:r>
    </w:p>
    <w:p>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中垦华山牧乳业有限公司</w:t>
      </w:r>
    </w:p>
    <w:p>
      <w:pPr>
        <w:spacing w:line="610" w:lineRule="exact"/>
        <w:ind w:firstLine="640" w:firstLineChars="200"/>
        <w:rPr>
          <w:rFonts w:ascii="方正仿宋_GBK" w:eastAsia="方正仿宋_GBK"/>
          <w:sz w:val="32"/>
          <w:szCs w:val="32"/>
          <w:highlight w:val="none"/>
        </w:rPr>
      </w:pPr>
      <w:r>
        <w:rPr>
          <w:rFonts w:hint="eastAsia" w:ascii="方正黑体_GBK" w:hAnsi="方正黑体_GBK" w:eastAsia="方正黑体_GBK" w:cs="方正黑体_GBK"/>
          <w:sz w:val="32"/>
          <w:szCs w:val="32"/>
          <w:highlight w:val="none"/>
        </w:rPr>
        <w:t>二、项目名称</w:t>
      </w:r>
    </w:p>
    <w:p>
      <w:pPr>
        <w:spacing w:line="610" w:lineRule="exact"/>
        <w:ind w:firstLine="640" w:firstLineChars="200"/>
        <w:rPr>
          <w:rFonts w:ascii="方正仿宋_GBK" w:eastAsia="方正仿宋_GBK"/>
          <w:sz w:val="32"/>
          <w:szCs w:val="32"/>
          <w:highlight w:val="none"/>
        </w:rPr>
      </w:pPr>
      <w:r>
        <w:rPr>
          <w:rFonts w:hint="eastAsia" w:ascii="方正仿宋_GBK" w:eastAsia="方正仿宋_GBK"/>
          <w:sz w:val="32"/>
          <w:szCs w:val="32"/>
          <w:highlight w:val="none"/>
        </w:rPr>
        <w:t>中垦华山牧乳业有限公司陕西省及周边省市产品物流配送服务项目</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三、项目实施地址</w:t>
      </w:r>
    </w:p>
    <w:p>
      <w:pPr>
        <w:spacing w:line="610" w:lineRule="exact"/>
        <w:ind w:firstLine="640" w:firstLineChars="200"/>
        <w:rPr>
          <w:rFonts w:ascii="方正仿宋_GBK" w:eastAsia="方正仿宋_GBK"/>
          <w:sz w:val="32"/>
          <w:szCs w:val="32"/>
          <w:highlight w:val="none"/>
        </w:rPr>
      </w:pPr>
      <w:r>
        <w:rPr>
          <w:rFonts w:hint="eastAsia" w:ascii="方正仿宋_GBK" w:eastAsia="方正仿宋_GBK"/>
          <w:sz w:val="32"/>
          <w:szCs w:val="32"/>
          <w:highlight w:val="none"/>
        </w:rPr>
        <w:t>陕西省渭南市高新技术产业开发区中垦大道至陕西省及周边省市各配送点（详见线路配送报价表）</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四、项目主要内容</w:t>
      </w:r>
    </w:p>
    <w:p>
      <w:pPr>
        <w:spacing w:line="58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提供常、低温乳制品及相关物资（以下简称货物）的线路运输配送服务。</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五、项目开展方式</w:t>
      </w:r>
    </w:p>
    <w:p>
      <w:pPr>
        <w:spacing w:line="610" w:lineRule="exact"/>
        <w:ind w:firstLine="640" w:firstLineChars="200"/>
        <w:rPr>
          <w:rFonts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公开比选</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六、报价方式及付款条件</w:t>
      </w:r>
    </w:p>
    <w:p>
      <w:pPr>
        <w:numPr>
          <w:ilvl w:val="0"/>
          <w:numId w:val="1"/>
        </w:numPr>
        <w:spacing w:line="610" w:lineRule="exact"/>
        <w:ind w:left="410" w:leftChars="0" w:firstLine="640" w:firstLineChars="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报价按常温、低温两种方式进行（详见</w:t>
      </w:r>
      <w:r>
        <w:rPr>
          <w:rFonts w:hint="eastAsia" w:ascii="方正仿宋_GBK" w:eastAsia="方正仿宋_GBK"/>
          <w:sz w:val="32"/>
          <w:szCs w:val="32"/>
        </w:rPr>
        <w:t>线路配送报价表</w:t>
      </w:r>
      <w:r>
        <w:rPr>
          <w:rFonts w:hint="eastAsia" w:ascii="方正仿宋_GBK" w:hAnsi="方正仿宋_GBK" w:eastAsia="方正仿宋_GBK" w:cs="方正仿宋_GBK"/>
          <w:sz w:val="32"/>
          <w:szCs w:val="32"/>
        </w:rPr>
        <w:t>）。投标人必须按招标人提供的报价表进行报价，加盖企业鲜章。</w:t>
      </w:r>
    </w:p>
    <w:p>
      <w:pPr>
        <w:numPr>
          <w:ilvl w:val="0"/>
          <w:numId w:val="1"/>
        </w:numPr>
        <w:spacing w:line="610" w:lineRule="exact"/>
        <w:ind w:left="410" w:leftChars="0" w:firstLine="640" w:firstLineChars="0"/>
        <w:rPr>
          <w:rFonts w:ascii="方正黑体_GBK" w:hAnsi="方正黑体_GBK" w:eastAsia="方正仿宋_GBK" w:cs="方正黑体_GBK"/>
          <w:sz w:val="32"/>
          <w:szCs w:val="32"/>
        </w:rPr>
      </w:pPr>
      <w:r>
        <w:rPr>
          <w:rFonts w:hint="eastAsia" w:ascii="方正仿宋_GBK" w:hAnsi="方正仿宋_GBK" w:eastAsia="方正仿宋_GBK" w:cs="方正仿宋_GBK"/>
          <w:sz w:val="32"/>
          <w:szCs w:val="32"/>
        </w:rPr>
        <w:t>运费采用月结方式结算。以每月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日为起始日，按月结算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次月5日前完成上月运费对账；乙方每月10日前开具上月相应</w:t>
      </w:r>
      <w:r>
        <w:rPr>
          <w:rFonts w:hint="eastAsia" w:ascii="方正仿宋_GBK" w:hAnsi="方正仿宋_GBK" w:eastAsia="方正仿宋_GBK" w:cs="方正仿宋_GBK"/>
          <w:sz w:val="32"/>
          <w:szCs w:val="32"/>
          <w:lang w:val="en-US" w:eastAsia="zh-CN"/>
        </w:rPr>
        <w:t>对账</w:t>
      </w:r>
      <w:r>
        <w:rPr>
          <w:rFonts w:hint="eastAsia" w:ascii="方正仿宋_GBK" w:hAnsi="方正仿宋_GBK" w:eastAsia="方正仿宋_GBK" w:cs="方正仿宋_GBK"/>
          <w:sz w:val="32"/>
          <w:szCs w:val="32"/>
        </w:rPr>
        <w:t>金额的9%有效增值税专用运输发票给甲方；甲方收到发票后10日内将上月运输费用以转账方式支付给乙方（乙方确认收款账户与乙方开具的增值税发票上面的公司银行账户一致）。</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七、供应商要求</w:t>
      </w:r>
    </w:p>
    <w:p>
      <w:pPr>
        <w:numPr>
          <w:ilvl w:val="0"/>
          <w:numId w:val="0"/>
        </w:numPr>
        <w:spacing w:line="61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投标人必须具有独立法人资格。</w:t>
      </w:r>
    </w:p>
    <w:p>
      <w:pPr>
        <w:numPr>
          <w:ilvl w:val="0"/>
          <w:numId w:val="0"/>
        </w:numPr>
        <w:spacing w:line="610" w:lineRule="exact"/>
        <w:ind w:firstLine="640" w:firstLineChars="200"/>
        <w:jc w:val="left"/>
        <w:rPr>
          <w:rFonts w:hint="eastAsia" w:ascii="方正仿宋_GBK" w:hAnsi="方正仿宋_GBK" w:eastAsia="方正仿宋_GBK" w:cs="方正仿宋_GBK"/>
          <w:color w:val="auto"/>
          <w:sz w:val="32"/>
          <w:szCs w:val="32"/>
          <w:highlight w:val="magenta"/>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投标人需提供有效的营业执照和道路运输许可证复印件等有效资质证明。</w:t>
      </w:r>
    </w:p>
    <w:p>
      <w:pPr>
        <w:numPr>
          <w:ilvl w:val="0"/>
          <w:numId w:val="0"/>
        </w:numPr>
        <w:spacing w:line="61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投标人必须提供有效期内7个以上自有低温冷链车辆相关信息。</w:t>
      </w:r>
    </w:p>
    <w:p>
      <w:pPr>
        <w:numPr>
          <w:ilvl w:val="0"/>
          <w:numId w:val="0"/>
        </w:numPr>
        <w:spacing w:line="61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投标人应承诺在签订合同后45天内办理渭南市高新北区至相关线路区域货车通行证。</w:t>
      </w:r>
    </w:p>
    <w:p>
      <w:pPr>
        <w:spacing w:line="610" w:lineRule="exact"/>
        <w:ind w:firstLine="640" w:firstLineChars="200"/>
        <w:jc w:val="both"/>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八.投标保证金证明</w:t>
      </w:r>
    </w:p>
    <w:p>
      <w:pPr>
        <w:numPr>
          <w:ilvl w:val="0"/>
          <w:numId w:val="0"/>
        </w:numPr>
        <w:spacing w:line="610" w:lineRule="exact"/>
        <w:ind w:left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val="zh-CN"/>
        </w:rPr>
        <w:t>投标保证金</w:t>
      </w:r>
      <w:r>
        <w:rPr>
          <w:rFonts w:hint="eastAsia" w:ascii="方正仿宋_GBK" w:hAnsi="方正仿宋_GBK" w:eastAsia="方正仿宋_GBK" w:cs="方正仿宋_GBK"/>
          <w:sz w:val="32"/>
          <w:szCs w:val="32"/>
          <w:lang w:val="en-US" w:eastAsia="zh-CN"/>
        </w:rPr>
        <w:t>金额</w:t>
      </w:r>
    </w:p>
    <w:p>
      <w:pPr>
        <w:numPr>
          <w:ilvl w:val="0"/>
          <w:numId w:val="2"/>
        </w:numPr>
        <w:spacing w:line="580" w:lineRule="exact"/>
        <w:ind w:firstLine="640" w:firstLineChars="200"/>
        <w:rPr>
          <w:rFonts w:hint="eastAsia" w:ascii="方正仿宋_GBK" w:hAnsi="方正仿宋_GBK" w:eastAsia="方正仿宋_GBK" w:cs="方正仿宋_GBK"/>
          <w:bCs/>
          <w:sz w:val="32"/>
          <w:szCs w:val="32"/>
          <w:lang w:val="zh-CN"/>
        </w:rPr>
      </w:pPr>
      <w:r>
        <w:rPr>
          <w:rFonts w:hint="eastAsia" w:ascii="方正仿宋_GBK" w:hAnsi="方正仿宋_GBK" w:eastAsia="方正仿宋_GBK" w:cs="方正仿宋_GBK"/>
          <w:bCs/>
          <w:sz w:val="32"/>
          <w:szCs w:val="32"/>
          <w:lang w:val="zh-CN"/>
        </w:rPr>
        <w:t>投标方须向招标方缴纳投标保证金</w:t>
      </w:r>
      <w:r>
        <w:rPr>
          <w:rFonts w:hint="eastAsia" w:ascii="方正仿宋_GBK" w:hAnsi="方正仿宋_GBK" w:eastAsia="方正仿宋_GBK" w:cs="方正仿宋_GBK"/>
          <w:bCs/>
          <w:sz w:val="32"/>
          <w:szCs w:val="32"/>
          <w:lang w:val="en-US" w:eastAsia="zh-CN"/>
        </w:rPr>
        <w:t>10万</w:t>
      </w:r>
      <w:r>
        <w:rPr>
          <w:rFonts w:hint="eastAsia" w:ascii="方正仿宋_GBK" w:hAnsi="方正仿宋_GBK" w:eastAsia="方正仿宋_GBK" w:cs="方正仿宋_GBK"/>
          <w:bCs/>
          <w:sz w:val="32"/>
          <w:szCs w:val="32"/>
          <w:lang w:val="zh-CN"/>
        </w:rPr>
        <w:t>元。</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60" w:firstLineChars="200"/>
        <w:jc w:val="left"/>
        <w:textAlignment w:val="auto"/>
        <w:outlineLvl w:val="9"/>
        <w:rPr>
          <w:rFonts w:hint="eastAsia" w:ascii="方正仿宋_GBK" w:hAnsi="方正仿宋_GBK" w:eastAsia="方正仿宋_GBK" w:cs="方正仿宋_GBK"/>
          <w:color w:val="000000"/>
          <w:sz w:val="33"/>
          <w:szCs w:val="33"/>
          <w:lang w:val="en-US" w:eastAsia="zh-CN"/>
        </w:rPr>
      </w:pPr>
      <w:r>
        <w:rPr>
          <w:rFonts w:hint="eastAsia" w:ascii="方正仿宋_GBK" w:hAnsi="方正仿宋_GBK" w:eastAsia="方正仿宋_GBK" w:cs="方正仿宋_GBK"/>
          <w:color w:val="000000"/>
          <w:sz w:val="33"/>
          <w:szCs w:val="33"/>
          <w:lang w:val="en-US" w:eastAsia="zh-CN"/>
        </w:rPr>
        <w:t>账户名：中垦华山牧乳业有限公司</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60" w:firstLineChars="200"/>
        <w:jc w:val="left"/>
        <w:textAlignment w:val="auto"/>
        <w:outlineLvl w:val="9"/>
        <w:rPr>
          <w:rFonts w:hint="eastAsia" w:ascii="方正仿宋_GBK" w:hAnsi="方正仿宋_GBK" w:eastAsia="方正仿宋_GBK" w:cs="方正仿宋_GBK"/>
          <w:color w:val="000000"/>
          <w:sz w:val="33"/>
          <w:szCs w:val="33"/>
          <w:highlight w:val="none"/>
          <w:lang w:val="en-US" w:eastAsia="zh-CN"/>
        </w:rPr>
      </w:pPr>
      <w:r>
        <w:rPr>
          <w:rFonts w:hint="eastAsia" w:ascii="方正仿宋_GBK" w:hAnsi="方正仿宋_GBK" w:eastAsia="方正仿宋_GBK" w:cs="方正仿宋_GBK"/>
          <w:color w:val="000000"/>
          <w:sz w:val="33"/>
          <w:szCs w:val="33"/>
          <w:highlight w:val="none"/>
          <w:lang w:val="en-US" w:eastAsia="zh-CN"/>
        </w:rPr>
        <w:t>开户行：交通银行渭南分行</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60" w:firstLineChars="200"/>
        <w:jc w:val="left"/>
        <w:textAlignment w:val="auto"/>
        <w:outlineLvl w:val="9"/>
        <w:rPr>
          <w:rFonts w:hint="eastAsia" w:ascii="方正仿宋_GBK" w:hAnsi="方正仿宋_GBK" w:eastAsia="方正仿宋_GBK" w:cs="方正仿宋_GBK"/>
          <w:color w:val="000000"/>
          <w:sz w:val="33"/>
          <w:szCs w:val="33"/>
          <w:highlight w:val="none"/>
          <w:lang w:val="en-US" w:eastAsia="zh-CN"/>
        </w:rPr>
      </w:pPr>
      <w:r>
        <w:rPr>
          <w:rFonts w:hint="eastAsia" w:ascii="方正仿宋_GBK" w:hAnsi="方正仿宋_GBK" w:eastAsia="方正仿宋_GBK" w:cs="方正仿宋_GBK"/>
          <w:color w:val="000000"/>
          <w:sz w:val="33"/>
          <w:szCs w:val="33"/>
          <w:highlight w:val="none"/>
          <w:lang w:val="en-US" w:eastAsia="zh-CN"/>
        </w:rPr>
        <w:t>账  号：6158  9999  1010  0030  21768</w:t>
      </w:r>
    </w:p>
    <w:p>
      <w:pPr>
        <w:keepNext w:val="0"/>
        <w:keepLines w:val="0"/>
        <w:pageBreakBefore w:val="0"/>
        <w:widowControl/>
        <w:kinsoku/>
        <w:wordWrap/>
        <w:overflowPunct/>
        <w:topLinePunct w:val="0"/>
        <w:autoSpaceDE/>
        <w:autoSpaceDN/>
        <w:bidi w:val="0"/>
        <w:adjustRightInd w:val="0"/>
        <w:snapToGrid w:val="0"/>
        <w:spacing w:after="0" w:line="500" w:lineRule="exact"/>
        <w:ind w:left="0" w:leftChars="0" w:right="0" w:rightChars="0" w:firstLine="660" w:firstLineChars="200"/>
        <w:jc w:val="left"/>
        <w:textAlignment w:val="auto"/>
        <w:outlineLvl w:val="9"/>
        <w:rPr>
          <w:rFonts w:hint="default"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color w:val="000000"/>
          <w:sz w:val="33"/>
          <w:szCs w:val="33"/>
          <w:highlight w:val="none"/>
          <w:lang w:val="en-US" w:eastAsia="zh-CN"/>
        </w:rPr>
        <w:t>行  号：3017  9700  0015</w:t>
      </w:r>
    </w:p>
    <w:p>
      <w:pPr>
        <w:numPr>
          <w:ilvl w:val="0"/>
          <w:numId w:val="2"/>
        </w:numPr>
        <w:spacing w:line="580" w:lineRule="exact"/>
        <w:ind w:firstLine="640" w:firstLineChars="200"/>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lang w:val="zh-CN" w:eastAsia="zh-CN"/>
        </w:rPr>
        <w:t>转款时注明:中垦华山牧乳业有限公司陕西省及周边省市产品物流配送服务项目投标保证金。</w:t>
      </w:r>
    </w:p>
    <w:p>
      <w:pPr>
        <w:numPr>
          <w:ilvl w:val="0"/>
          <w:numId w:val="0"/>
        </w:numPr>
        <w:spacing w:line="610" w:lineRule="exact"/>
        <w:ind w:left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（二）投标保证金缴纳截止时间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zh-CN"/>
        </w:rPr>
        <w:t>投标保证金缴纳截止</w:t>
      </w:r>
      <w:r>
        <w:rPr>
          <w:rFonts w:hint="eastAsia" w:ascii="方正仿宋_GBK" w:hAnsi="方正仿宋_GBK" w:eastAsia="方正仿宋_GBK" w:cs="方正仿宋_GBK"/>
          <w:bCs/>
          <w:sz w:val="32"/>
          <w:szCs w:val="32"/>
          <w:lang w:val="zh-CN" w:eastAsia="zh-CN"/>
        </w:rPr>
        <w:t>时间:</w:t>
      </w:r>
      <w:r>
        <w:rPr>
          <w:rFonts w:hint="eastAsia" w:ascii="方正仿宋_GBK" w:hAnsi="方正仿宋_GBK" w:eastAsia="方正仿宋_GBK" w:cs="方正仿宋_GBK"/>
          <w:bCs/>
          <w:color w:val="0000FF"/>
          <w:sz w:val="32"/>
          <w:szCs w:val="32"/>
          <w:lang w:val="en-US" w:eastAsia="zh-CN"/>
        </w:rPr>
        <w:t xml:space="preserve"> 2025年11月14日</w:t>
      </w:r>
      <w:r>
        <w:rPr>
          <w:rFonts w:hint="eastAsia" w:ascii="方正仿宋_GBK" w:hAnsi="方正仿宋_GBK" w:eastAsia="方正仿宋_GBK" w:cs="方正仿宋_GBK"/>
          <w:color w:val="0000FF"/>
          <w:sz w:val="32"/>
          <w:szCs w:val="32"/>
          <w:lang w:val="en-US" w:eastAsia="zh-CN"/>
        </w:rPr>
        <w:t>24：00前。</w:t>
      </w:r>
    </w:p>
    <w:p>
      <w:pPr>
        <w:numPr>
          <w:ilvl w:val="0"/>
          <w:numId w:val="0"/>
        </w:numPr>
        <w:spacing w:line="610" w:lineRule="exact"/>
        <w:jc w:val="both"/>
        <w:rPr>
          <w:rFonts w:hint="eastAsia" w:ascii="方正仿宋_GBK" w:hAnsi="方正仿宋_GBK" w:eastAsia="方正仿宋_GBK" w:cs="方正仿宋_GBK"/>
          <w:bCs/>
          <w:sz w:val="32"/>
          <w:szCs w:val="32"/>
          <w:lang w:val="zh-CN" w:eastAsia="zh-CN"/>
        </w:rPr>
      </w:pPr>
      <w:r>
        <w:rPr>
          <w:rFonts w:hint="eastAsia" w:ascii="方正仿宋_GBK" w:hAnsi="方正仿宋_GBK" w:eastAsia="方正仿宋_GBK" w:cs="方正仿宋_GBK"/>
          <w:bCs/>
          <w:sz w:val="32"/>
          <w:szCs w:val="32"/>
          <w:lang w:val="zh-CN" w:eastAsia="zh-CN"/>
        </w:rPr>
        <w:t>（以</w:t>
      </w:r>
      <w:r>
        <w:rPr>
          <w:rFonts w:hint="eastAsia" w:ascii="方正仿宋_GBK" w:hAnsi="方正仿宋_GBK" w:eastAsia="方正仿宋_GBK" w:cs="方正仿宋_GBK"/>
          <w:bCs/>
          <w:sz w:val="32"/>
          <w:szCs w:val="32"/>
          <w:lang w:val="en-US" w:eastAsia="zh-CN"/>
        </w:rPr>
        <w:t>到</w:t>
      </w:r>
      <w:r>
        <w:rPr>
          <w:rFonts w:hint="eastAsia" w:ascii="方正仿宋_GBK" w:hAnsi="方正仿宋_GBK" w:eastAsia="方正仿宋_GBK" w:cs="方正仿宋_GBK"/>
          <w:bCs/>
          <w:sz w:val="32"/>
          <w:szCs w:val="32"/>
          <w:lang w:val="zh-CN" w:eastAsia="zh-CN"/>
        </w:rPr>
        <w:t>账时间为准），逾期未缴纳保证金视为主动弃权。</w:t>
      </w:r>
    </w:p>
    <w:p>
      <w:pPr>
        <w:numPr>
          <w:ilvl w:val="0"/>
          <w:numId w:val="0"/>
        </w:numPr>
        <w:spacing w:line="610" w:lineRule="exact"/>
        <w:ind w:leftChars="200"/>
        <w:rPr>
          <w:rFonts w:hint="eastAsia" w:ascii="方正仿宋_GBK" w:hAnsi="方正仿宋_GBK" w:eastAsia="方正仿宋_GBK" w:cs="方正仿宋_GBK"/>
          <w:sz w:val="32"/>
          <w:szCs w:val="32"/>
          <w:lang w:val="zh-CN" w:eastAsia="zh-CN"/>
        </w:rPr>
      </w:pP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val="zh-CN" w:eastAsia="zh-CN"/>
        </w:rPr>
        <w:t>投标保证金退还</w:t>
      </w:r>
    </w:p>
    <w:p>
      <w:pPr>
        <w:numPr>
          <w:ilvl w:val="0"/>
          <w:numId w:val="0"/>
        </w:numPr>
        <w:spacing w:line="610" w:lineRule="exact"/>
        <w:ind w:firstLine="960" w:firstLineChars="3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zh-CN"/>
        </w:rPr>
        <w:t>开标结束后</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val="zh-CN"/>
        </w:rPr>
        <w:t>个工作日内，中标单位投标保证金自动转为协议</w:t>
      </w:r>
      <w:r>
        <w:rPr>
          <w:rFonts w:hint="eastAsia" w:ascii="方正仿宋_GBK" w:hAnsi="方正仿宋_GBK" w:eastAsia="方正仿宋_GBK" w:cs="方正仿宋_GBK"/>
          <w:sz w:val="32"/>
          <w:szCs w:val="32"/>
          <w:highlight w:val="none"/>
        </w:rPr>
        <w:t>履</w:t>
      </w:r>
      <w:r>
        <w:rPr>
          <w:rFonts w:hint="eastAsia" w:ascii="方正仿宋_GBK" w:hAnsi="方正仿宋_GBK" w:eastAsia="方正仿宋_GBK" w:cs="方正仿宋_GBK"/>
          <w:sz w:val="32"/>
          <w:szCs w:val="32"/>
          <w:highlight w:val="none"/>
          <w:lang w:eastAsia="zh-CN"/>
        </w:rPr>
        <w:t>约保证</w:t>
      </w:r>
      <w:r>
        <w:rPr>
          <w:rFonts w:hint="eastAsia" w:ascii="方正仿宋_GBK" w:hAnsi="方正仿宋_GBK" w:eastAsia="方正仿宋_GBK" w:cs="方正仿宋_GBK"/>
          <w:sz w:val="32"/>
          <w:szCs w:val="32"/>
          <w:highlight w:val="none"/>
        </w:rPr>
        <w:t>金，</w:t>
      </w:r>
      <w:r>
        <w:rPr>
          <w:rFonts w:hint="eastAsia" w:ascii="方正仿宋_GBK" w:hAnsi="方正仿宋_GBK" w:eastAsia="方正仿宋_GBK" w:cs="方正仿宋_GBK"/>
          <w:sz w:val="32"/>
          <w:szCs w:val="32"/>
          <w:highlight w:val="none"/>
          <w:lang w:val="zh-CN"/>
        </w:rPr>
        <w:t>未中标单位无欺诈等违规行为则如数（不计息）退还至原账户；投标过程发现投标方资质等存在虚假或中标后放弃中标等欺诈、违规行为，投标保证金一律不予退还。</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、投标文件要求</w:t>
      </w:r>
    </w:p>
    <w:p>
      <w:pPr>
        <w:numPr>
          <w:ilvl w:val="0"/>
          <w:numId w:val="3"/>
        </w:numPr>
        <w:spacing w:line="61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投标人提供纸质比选响应文件正本数量2本。</w:t>
      </w:r>
    </w:p>
    <w:p>
      <w:pPr>
        <w:numPr>
          <w:ilvl w:val="0"/>
          <w:numId w:val="3"/>
        </w:numPr>
        <w:spacing w:line="61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比选响应文件左侧装订，装订要规范。</w:t>
      </w:r>
    </w:p>
    <w:p>
      <w:pPr>
        <w:numPr>
          <w:ilvl w:val="0"/>
          <w:numId w:val="3"/>
        </w:numPr>
        <w:spacing w:line="61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比选响应文件加盖投标人公章，写明比选业务名称。</w:t>
      </w:r>
    </w:p>
    <w:p>
      <w:pPr>
        <w:numPr>
          <w:ilvl w:val="0"/>
          <w:numId w:val="3"/>
        </w:numPr>
        <w:spacing w:line="61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比选响应文件应密封后</w:t>
      </w:r>
      <w:r>
        <w:rPr>
          <w:rFonts w:hint="eastAsia" w:ascii="方正仿宋_GBK" w:hAnsi="方正仿宋_GBK" w:eastAsia="方正仿宋_GBK" w:cs="方正仿宋_GBK"/>
          <w:sz w:val="32"/>
          <w:szCs w:val="32"/>
          <w:highlight w:val="none"/>
          <w:lang w:val="en-US" w:eastAsia="zh-CN"/>
        </w:rPr>
        <w:t>通过邮寄</w:t>
      </w:r>
      <w:r>
        <w:rPr>
          <w:rFonts w:hint="eastAsia" w:ascii="方正仿宋_GBK" w:hAnsi="方正仿宋_GBK" w:eastAsia="方正仿宋_GBK" w:cs="方正仿宋_GBK"/>
          <w:sz w:val="32"/>
          <w:szCs w:val="32"/>
          <w:highlight w:val="none"/>
        </w:rPr>
        <w:t>发出</w:t>
      </w:r>
      <w:r>
        <w:rPr>
          <w:rFonts w:hint="eastAsia" w:ascii="方正仿宋_GBK" w:hAnsi="方正仿宋_GBK" w:eastAsia="方正仿宋_GBK" w:cs="方正仿宋_GBK"/>
          <w:sz w:val="32"/>
          <w:szCs w:val="32"/>
          <w:highlight w:val="none"/>
          <w:lang w:val="en-US" w:eastAsia="zh-CN"/>
        </w:rPr>
        <w:t>或</w:t>
      </w:r>
      <w:r>
        <w:rPr>
          <w:rFonts w:ascii="方正仿宋_GBK" w:hAnsi="方正仿宋_GBK" w:eastAsia="方正仿宋_GBK" w:cs="方正仿宋_GBK"/>
          <w:sz w:val="32"/>
          <w:szCs w:val="32"/>
          <w:highlight w:val="none"/>
        </w:rPr>
        <w:t>送至比选地点（并将比选响应文件电子文档拷贝至U盘）</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并完善确认签收手续。</w:t>
      </w:r>
    </w:p>
    <w:p>
      <w:pPr>
        <w:numPr>
          <w:ilvl w:val="0"/>
          <w:numId w:val="3"/>
        </w:numPr>
        <w:spacing w:line="61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比选响</w:t>
      </w:r>
      <w:r>
        <w:rPr>
          <w:rFonts w:hint="eastAsia" w:ascii="方正仿宋_GBK" w:hAnsi="方正仿宋_GBK" w:eastAsia="方正仿宋_GBK" w:cs="方正仿宋_GBK"/>
          <w:sz w:val="32"/>
          <w:szCs w:val="32"/>
          <w:highlight w:val="none"/>
        </w:rPr>
        <w:t>应文件送达截止时间：202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18</w:t>
      </w:r>
      <w:r>
        <w:rPr>
          <w:rFonts w:hint="eastAsia" w:ascii="方正仿宋_GBK" w:hAnsi="方正仿宋_GBK" w:eastAsia="方正仿宋_GBK" w:cs="方正仿宋_GBK"/>
          <w:sz w:val="32"/>
          <w:szCs w:val="32"/>
          <w:highlight w:val="none"/>
        </w:rPr>
        <w:t>日12：00前。</w:t>
      </w:r>
      <w:r>
        <w:rPr>
          <w:rFonts w:ascii="方正仿宋_GBK" w:hAnsi="方正仿宋_GBK" w:eastAsia="方正仿宋_GBK" w:cs="方正仿宋_GBK"/>
          <w:sz w:val="32"/>
          <w:szCs w:val="32"/>
          <w:highlight w:val="none"/>
        </w:rPr>
        <w:t>逾期收到或不符合规定的比选响应文件将被拒绝。无论参选方是否中标，比选响应文件将不予退还。</w:t>
      </w:r>
    </w:p>
    <w:p>
      <w:pPr>
        <w:numPr>
          <w:ilvl w:val="0"/>
          <w:numId w:val="3"/>
        </w:numPr>
        <w:spacing w:line="61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比选响应文件注意事项（配送线路报价表内最高限价）报价超过最高限价，将失去投标资格。</w:t>
      </w:r>
    </w:p>
    <w:p>
      <w:pPr>
        <w:numPr>
          <w:ilvl w:val="0"/>
          <w:numId w:val="3"/>
        </w:numPr>
        <w:spacing w:line="61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比选响应文件送达地点：中垦华山牧乳业有限公司(陕西省渭南市高新北区)。 </w:t>
      </w:r>
    </w:p>
    <w:p>
      <w:pPr>
        <w:spacing w:line="610" w:lineRule="exact"/>
        <w:ind w:firstLine="640" w:firstLineChars="200"/>
        <w:rPr>
          <w:rFonts w:ascii="方正黑体_GBK" w:hAnsi="方正黑体_GBK" w:eastAsia="方正黑体_GBK" w:cs="方正黑体_GBK"/>
          <w:szCs w:val="21"/>
        </w:rPr>
      </w:pPr>
      <w:r>
        <w:rPr>
          <w:rFonts w:hint="eastAsia" w:ascii="方正黑体_GBK" w:hAnsi="方正黑体_GBK" w:eastAsia="方正黑体_GBK" w:cs="方正黑体_GBK"/>
          <w:sz w:val="32"/>
          <w:szCs w:val="32"/>
          <w:lang w:val="en-US" w:eastAsia="zh-CN"/>
        </w:rPr>
        <w:t>十</w:t>
      </w:r>
      <w:r>
        <w:rPr>
          <w:rFonts w:hint="eastAsia" w:ascii="方正黑体_GBK" w:hAnsi="方正黑体_GBK" w:eastAsia="方正黑体_GBK" w:cs="方正黑体_GBK"/>
          <w:sz w:val="32"/>
          <w:szCs w:val="32"/>
        </w:rPr>
        <w:t>、开标时间及地点</w:t>
      </w:r>
    </w:p>
    <w:p>
      <w:pPr>
        <w:numPr>
          <w:ilvl w:val="0"/>
          <w:numId w:val="0"/>
        </w:numPr>
        <w:spacing w:line="610" w:lineRule="exact"/>
        <w:ind w:left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时间：202</w:t>
      </w: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18</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14:00点</w:t>
      </w:r>
    </w:p>
    <w:p>
      <w:pPr>
        <w:spacing w:line="610" w:lineRule="exact"/>
        <w:ind w:firstLine="640" w:firstLineChars="200"/>
        <w:rPr>
          <w:rFonts w:ascii="方正仿宋_GBK" w:eastAsia="方正仿宋_GBK"/>
          <w:sz w:val="32"/>
          <w:szCs w:val="32"/>
        </w:rPr>
      </w:pPr>
      <w:r>
        <w:rPr>
          <w:rFonts w:hint="eastAsia" w:ascii="方正仿宋_GBK" w:hAnsi="方正仿宋_GBK" w:eastAsia="方正仿宋_GBK" w:cs="方正仿宋_GBK"/>
          <w:color w:val="000000"/>
          <w:sz w:val="32"/>
          <w:szCs w:val="32"/>
        </w:rPr>
        <w:t>地点：中垦华山牧乳业有限公司研发中心二楼一号会议室（陕西省渭南市高新北区中垦大道）</w:t>
      </w:r>
    </w:p>
    <w:p>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十一、</w:t>
      </w:r>
      <w:r>
        <w:rPr>
          <w:rFonts w:hint="eastAsia" w:ascii="方正黑体_GBK" w:hAnsi="方正黑体_GBK" w:eastAsia="方正黑体_GBK" w:cs="方正黑体_GBK"/>
          <w:sz w:val="32"/>
          <w:szCs w:val="32"/>
        </w:rPr>
        <w:t>联系方式</w:t>
      </w:r>
    </w:p>
    <w:p>
      <w:pPr>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招标人：中垦华山牧乳业有限公司</w:t>
      </w:r>
    </w:p>
    <w:p>
      <w:pPr>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地  址：中垦华山牧乳业有限公司(陕西省渭南市高新北区)</w:t>
      </w:r>
    </w:p>
    <w:p>
      <w:pPr>
        <w:ind w:firstLine="640" w:firstLineChars="200"/>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联系人：李</w:t>
      </w:r>
      <w:r>
        <w:rPr>
          <w:rFonts w:hint="eastAsia" w:ascii="方正仿宋_GBK" w:hAnsi="方正仿宋_GBK" w:eastAsia="方正仿宋_GBK" w:cs="方正仿宋_GBK"/>
          <w:kern w:val="0"/>
          <w:sz w:val="32"/>
          <w:szCs w:val="32"/>
          <w:lang w:val="en-US" w:eastAsia="zh-CN"/>
        </w:rPr>
        <w:t xml:space="preserve"> 文             田静静</w:t>
      </w:r>
    </w:p>
    <w:p>
      <w:pPr>
        <w:ind w:firstLine="640" w:firstLineChars="200"/>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电  话：1</w:t>
      </w: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181833167</w:t>
      </w:r>
      <w:r>
        <w:rPr>
          <w:rFonts w:hint="eastAsia" w:ascii="方正仿宋_GBK" w:hAnsi="方正仿宋_GBK" w:eastAsia="方正仿宋_GBK" w:cs="方正仿宋_GBK"/>
          <w:kern w:val="0"/>
          <w:sz w:val="32"/>
          <w:szCs w:val="32"/>
          <w:lang w:val="en-US" w:eastAsia="zh-CN"/>
        </w:rPr>
        <w:t xml:space="preserve">     </w:t>
      </w:r>
      <w:r>
        <w:rPr>
          <w:rFonts w:hint="eastAsia" w:ascii="方正仿宋_GBK" w:hAnsi="方正仿宋_GBK" w:eastAsia="方正仿宋_GBK" w:cs="方正仿宋_GBK"/>
          <w:kern w:val="0"/>
          <w:sz w:val="32"/>
          <w:szCs w:val="32"/>
        </w:rPr>
        <w:t>电  话：</w:t>
      </w:r>
      <w:r>
        <w:rPr>
          <w:rFonts w:hint="eastAsia" w:ascii="方正仿宋_GBK" w:hAnsi="方正仿宋_GBK" w:eastAsia="方正仿宋_GBK" w:cs="方正仿宋_GBK"/>
          <w:kern w:val="0"/>
          <w:sz w:val="32"/>
          <w:szCs w:val="32"/>
          <w:lang w:val="en-US" w:eastAsia="zh-CN"/>
        </w:rPr>
        <w:t>18502969868</w:t>
      </w:r>
    </w:p>
    <w:p>
      <w:pPr>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rPr>
        <w:t>十</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kern w:val="0"/>
          <w:sz w:val="32"/>
          <w:szCs w:val="32"/>
        </w:rPr>
        <w:t>投诉：</w:t>
      </w:r>
    </w:p>
    <w:p>
      <w:pPr>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投标人若有异议，可向招标人监督部门进行投诉。</w:t>
      </w:r>
    </w:p>
    <w:p>
      <w:pPr>
        <w:ind w:firstLine="640" w:firstLineChars="200"/>
        <w:rPr>
          <w:rFonts w:ascii="方正黑体_GBK" w:hAnsi="方正黑体_GBK" w:eastAsia="方正黑体_GBK" w:cs="方正黑体_GBK"/>
          <w:sz w:val="32"/>
          <w:szCs w:val="32"/>
        </w:rPr>
      </w:pPr>
      <w:r>
        <w:rPr>
          <w:rFonts w:hint="eastAsia" w:ascii="方正仿宋_GBK" w:hAnsi="方正仿宋_GBK" w:eastAsia="方正仿宋_GBK" w:cs="方正仿宋_GBK"/>
          <w:kern w:val="0"/>
          <w:sz w:val="32"/>
          <w:szCs w:val="32"/>
        </w:rPr>
        <w:t>投诉电话：0913-3132888</w:t>
      </w:r>
    </w:p>
    <w:p>
      <w:pPr>
        <w:spacing w:line="610" w:lineRule="exact"/>
        <w:jc w:val="center"/>
        <w:rPr>
          <w:rFonts w:ascii="方正黑体_GBK" w:hAnsi="方正黑体_GBK" w:eastAsia="方正黑体_GBK" w:cs="方正黑体_GBK"/>
          <w:sz w:val="32"/>
          <w:szCs w:val="32"/>
        </w:rPr>
      </w:pPr>
    </w:p>
    <w:p>
      <w:pPr>
        <w:spacing w:line="610" w:lineRule="exact"/>
        <w:jc w:val="center"/>
        <w:rPr>
          <w:rFonts w:ascii="方正仿宋_GBK" w:eastAsia="方正黑体_GBK"/>
          <w:sz w:val="32"/>
          <w:szCs w:val="32"/>
        </w:rPr>
      </w:pPr>
      <w:r>
        <w:rPr>
          <w:rFonts w:hint="eastAsia" w:ascii="方正黑体_GBK" w:hAnsi="方正黑体_GBK" w:eastAsia="方正黑体_GBK" w:cs="方正黑体_GBK"/>
          <w:sz w:val="32"/>
          <w:szCs w:val="32"/>
        </w:rPr>
        <w:t>第二部分：评分办法</w:t>
      </w:r>
    </w:p>
    <w:p>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本次采购评分采用低价评分法评标，评审专家将依据投标方提交的比选响应文件，对各项评标项目进行比较和评审。通过阅读投标文件，汇总各项评标项目分值，推荐中标人。</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一、评标评分细则</w:t>
      </w:r>
    </w:p>
    <w:p>
      <w:pPr>
        <w:spacing w:line="610" w:lineRule="exact"/>
        <w:ind w:firstLine="640" w:firstLineChars="200"/>
        <w:rPr>
          <w:highlight w:val="none"/>
        </w:rPr>
      </w:pPr>
      <w:r>
        <w:rPr>
          <w:rFonts w:hint="eastAsia" w:ascii="方正仿宋_GBK" w:eastAsia="方正仿宋_GBK"/>
          <w:sz w:val="32"/>
          <w:szCs w:val="32"/>
        </w:rPr>
        <w:t>评分标准：本次比选采用低价评分法，评分包括运输</w:t>
      </w:r>
      <w:r>
        <w:rPr>
          <w:rFonts w:hint="eastAsia" w:ascii="方正仿宋_GBK" w:eastAsia="方正仿宋_GBK"/>
          <w:sz w:val="32"/>
          <w:szCs w:val="32"/>
          <w:highlight w:val="none"/>
        </w:rPr>
        <w:t>价格、运输能力、履约能力等。</w:t>
      </w: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二、开标</w:t>
      </w:r>
    </w:p>
    <w:p>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由公司采购代表人组织公司评标人员、监督人员按照投标文件规定的开标时间、地点进行现场开标。监督人员负责检查投标文件密封性后由采购代表人组织评标小组对投标文件进行现场拆封，宣读投标人名称、投标报价相关内容，采购代表人在开标过程中做好完整的记录。</w:t>
      </w:r>
    </w:p>
    <w:p>
      <w:pPr>
        <w:spacing w:line="610" w:lineRule="exact"/>
        <w:ind w:left="420" w:leftChars="200"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三、评标</w:t>
      </w:r>
    </w:p>
    <w:p>
      <w:pPr>
        <w:numPr>
          <w:ilvl w:val="0"/>
          <w:numId w:val="4"/>
        </w:num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由评标小组及现场监督人员检查投标文件是否严格按照招标文件要求编写、资质技术是否符合本次比选项目要求。</w:t>
      </w:r>
    </w:p>
    <w:p>
      <w:pPr>
        <w:numPr>
          <w:ilvl w:val="0"/>
          <w:numId w:val="4"/>
        </w:num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由公司采购代表人组织评标小组于开标现场将各供应商投标价格统一公布后进行现场评标。</w:t>
      </w:r>
    </w:p>
    <w:p>
      <w:pPr>
        <w:numPr>
          <w:ilvl w:val="0"/>
          <w:numId w:val="4"/>
        </w:num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评标标准：</w:t>
      </w:r>
    </w:p>
    <w:tbl>
      <w:tblPr>
        <w:tblStyle w:val="10"/>
        <w:tblW w:w="90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67"/>
        <w:gridCol w:w="612"/>
        <w:gridCol w:w="552"/>
        <w:gridCol w:w="6326"/>
        <w:gridCol w:w="11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367"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序号</w:t>
            </w:r>
          </w:p>
        </w:tc>
        <w:tc>
          <w:tcPr>
            <w:tcW w:w="612"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评分项目</w:t>
            </w:r>
          </w:p>
        </w:tc>
        <w:tc>
          <w:tcPr>
            <w:tcW w:w="552"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分值</w:t>
            </w:r>
          </w:p>
        </w:tc>
        <w:tc>
          <w:tcPr>
            <w:tcW w:w="6326"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评分标准</w:t>
            </w:r>
          </w:p>
        </w:tc>
        <w:tc>
          <w:tcPr>
            <w:tcW w:w="1156" w:type="dxa"/>
            <w:tcBorders>
              <w:tl2br w:val="nil"/>
              <w:tr2bl w:val="nil"/>
            </w:tcBorders>
            <w:shd w:val="clear" w:color="auto" w:fill="FFFFFF"/>
            <w:noWrap/>
            <w:tcMar>
              <w:top w:w="12" w:type="dxa"/>
              <w:left w:w="12" w:type="dxa"/>
              <w:right w:w="12" w:type="dxa"/>
            </w:tcMar>
            <w:vAlign w:val="center"/>
          </w:tcPr>
          <w:p>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367"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1</w:t>
            </w:r>
          </w:p>
        </w:tc>
        <w:tc>
          <w:tcPr>
            <w:tcW w:w="61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报价</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hint="eastAsia" w:ascii="宋体" w:hAnsi="宋体" w:eastAsia="宋体" w:cs="宋体"/>
                <w:b/>
                <w:szCs w:val="21"/>
                <w:lang w:eastAsia="zh-CN"/>
              </w:rPr>
            </w:pPr>
            <w:r>
              <w:rPr>
                <w:rFonts w:hint="eastAsia" w:ascii="宋体" w:hAnsi="宋体" w:eastAsia="宋体" w:cs="宋体"/>
                <w:b/>
                <w:kern w:val="0"/>
                <w:szCs w:val="21"/>
              </w:rPr>
              <w:t>8</w:t>
            </w:r>
            <w:r>
              <w:rPr>
                <w:rFonts w:hint="eastAsia" w:ascii="宋体" w:hAnsi="宋体" w:cs="宋体"/>
                <w:b/>
                <w:kern w:val="0"/>
                <w:szCs w:val="21"/>
                <w:lang w:val="en-US" w:eastAsia="zh-CN"/>
              </w:rPr>
              <w:t>2</w:t>
            </w:r>
          </w:p>
        </w:tc>
        <w:tc>
          <w:tcPr>
            <w:tcW w:w="6326" w:type="dxa"/>
            <w:tcBorders>
              <w:tl2br w:val="nil"/>
              <w:tr2bl w:val="nil"/>
            </w:tcBorders>
            <w:noWrap w:val="0"/>
            <w:tcMar>
              <w:top w:w="12" w:type="dxa"/>
              <w:left w:w="12" w:type="dxa"/>
              <w:right w:w="12" w:type="dxa"/>
            </w:tcMar>
            <w:vAlign w:val="center"/>
          </w:tcPr>
          <w:p>
            <w:pPr>
              <w:widowControl/>
              <w:spacing w:line="400" w:lineRule="exact"/>
              <w:jc w:val="left"/>
            </w:pPr>
            <w:r>
              <w:rPr>
                <w:rFonts w:hint="eastAsia"/>
              </w:rPr>
              <w:t>报价合计总分8</w:t>
            </w:r>
            <w:r>
              <w:rPr>
                <w:rFonts w:hint="eastAsia"/>
                <w:lang w:val="en-US" w:eastAsia="zh-CN"/>
              </w:rPr>
              <w:t>2</w:t>
            </w:r>
            <w:r>
              <w:rPr>
                <w:rFonts w:hint="eastAsia"/>
              </w:rPr>
              <w:t>分，低温线54分,常温线26分</w:t>
            </w:r>
            <w:r>
              <w:rPr>
                <w:rFonts w:hint="eastAsia"/>
                <w:lang w:eastAsia="zh-CN"/>
              </w:rPr>
              <w:t>，</w:t>
            </w:r>
            <w:r>
              <w:rPr>
                <w:rFonts w:hint="eastAsia"/>
                <w:color w:val="FF0000"/>
                <w:lang w:val="en-US" w:eastAsia="zh-CN"/>
              </w:rPr>
              <w:t>新增点位2分</w:t>
            </w:r>
            <w:r>
              <w:rPr>
                <w:rFonts w:hint="eastAsia"/>
              </w:rPr>
              <w:t>。</w:t>
            </w:r>
          </w:p>
          <w:p>
            <w:pPr>
              <w:spacing w:line="400" w:lineRule="exact"/>
              <w:ind w:firstLine="420" w:firstLineChars="200"/>
              <w:rPr>
                <w:rFonts w:hint="eastAsia"/>
                <w:lang w:eastAsia="zh-CN"/>
              </w:rPr>
            </w:pPr>
            <w:r>
              <w:rPr>
                <w:rFonts w:hint="eastAsia"/>
              </w:rPr>
              <w:t>低温线计算规则：汉中线2分、韩城线</w:t>
            </w:r>
            <w:r>
              <w:rPr>
                <w:rFonts w:hint="eastAsia"/>
                <w:lang w:val="en-US" w:eastAsia="zh-CN"/>
              </w:rPr>
              <w:t>3</w:t>
            </w:r>
            <w:r>
              <w:rPr>
                <w:rFonts w:hint="eastAsia"/>
              </w:rPr>
              <w:t>分，彬县线</w:t>
            </w:r>
            <w:r>
              <w:rPr>
                <w:rFonts w:hint="eastAsia"/>
                <w:lang w:val="en-US" w:eastAsia="zh-CN"/>
              </w:rPr>
              <w:t>4</w:t>
            </w:r>
            <w:r>
              <w:rPr>
                <w:rFonts w:hint="eastAsia"/>
              </w:rPr>
              <w:t>分、宝鸡线</w:t>
            </w:r>
            <w:r>
              <w:rPr>
                <w:rFonts w:hint="eastAsia"/>
                <w:lang w:val="en-US" w:eastAsia="zh-CN"/>
              </w:rPr>
              <w:t>3</w:t>
            </w:r>
            <w:r>
              <w:rPr>
                <w:rFonts w:hint="eastAsia"/>
              </w:rPr>
              <w:t>分，延安线</w:t>
            </w:r>
            <w:r>
              <w:rPr>
                <w:rFonts w:hint="eastAsia"/>
                <w:lang w:val="en-US" w:eastAsia="zh-CN"/>
              </w:rPr>
              <w:t>6</w:t>
            </w:r>
            <w:r>
              <w:rPr>
                <w:rFonts w:hint="eastAsia"/>
              </w:rPr>
              <w:t>分，运城线</w:t>
            </w:r>
            <w:r>
              <w:rPr>
                <w:rFonts w:hint="eastAsia"/>
                <w:lang w:val="en-US" w:eastAsia="zh-CN"/>
              </w:rPr>
              <w:t>4</w:t>
            </w:r>
            <w:r>
              <w:rPr>
                <w:rFonts w:hint="eastAsia"/>
              </w:rPr>
              <w:t>分，</w:t>
            </w:r>
            <w:r>
              <w:rPr>
                <w:rFonts w:hint="eastAsia"/>
                <w:lang w:val="en-US" w:eastAsia="zh-CN"/>
              </w:rPr>
              <w:t>安康2分，</w:t>
            </w:r>
            <w:r>
              <w:rPr>
                <w:rFonts w:hint="eastAsia"/>
              </w:rPr>
              <w:t>太原线2分，</w:t>
            </w:r>
            <w:r>
              <w:rPr>
                <w:rFonts w:hint="eastAsia"/>
                <w:lang w:val="en-US" w:eastAsia="zh-CN"/>
              </w:rPr>
              <w:t>渭南市区线1分、</w:t>
            </w:r>
            <w:r>
              <w:rPr>
                <w:rFonts w:hint="eastAsia"/>
              </w:rPr>
              <w:t>盒马直发线</w:t>
            </w:r>
            <w:r>
              <w:rPr>
                <w:rFonts w:hint="eastAsia"/>
                <w:lang w:val="en-US" w:eastAsia="zh-CN"/>
              </w:rPr>
              <w:t>3</w:t>
            </w:r>
            <w:r>
              <w:rPr>
                <w:rFonts w:hint="eastAsia"/>
              </w:rPr>
              <w:t>分，</w:t>
            </w:r>
            <w:r>
              <w:rPr>
                <w:rFonts w:hint="eastAsia"/>
                <w:lang w:val="en-US" w:eastAsia="zh-CN"/>
              </w:rPr>
              <w:t>商超直配9分，市</w:t>
            </w:r>
            <w:r>
              <w:rPr>
                <w:rFonts w:hint="eastAsia"/>
              </w:rPr>
              <w:t>区线路1</w:t>
            </w:r>
            <w:r>
              <w:rPr>
                <w:rFonts w:hint="eastAsia"/>
                <w:lang w:val="en-US" w:eastAsia="zh-CN"/>
              </w:rPr>
              <w:t>5</w:t>
            </w:r>
            <w:r>
              <w:rPr>
                <w:rFonts w:hint="eastAsia"/>
              </w:rPr>
              <w:t>分；取有效投标人中每条线路点位的</w:t>
            </w:r>
            <w:r>
              <w:rPr>
                <w:rFonts w:hint="eastAsia"/>
                <w:lang w:eastAsia="zh-CN"/>
              </w:rPr>
              <w:t>车型报价</w:t>
            </w:r>
            <w:r>
              <w:rPr>
                <w:rFonts w:hint="eastAsia"/>
                <w:lang w:val="en-US" w:eastAsia="zh-CN"/>
              </w:rPr>
              <w:t>4.2米占80%；6.8米占20%</w:t>
            </w:r>
            <w:r>
              <w:rPr>
                <w:rFonts w:hint="eastAsia"/>
              </w:rPr>
              <w:t>单价</w:t>
            </w:r>
            <w:r>
              <w:rPr>
                <w:rFonts w:hint="eastAsia"/>
                <w:lang w:val="en-US" w:eastAsia="zh-CN"/>
              </w:rPr>
              <w:t>汇总</w:t>
            </w:r>
            <w:r>
              <w:rPr>
                <w:rFonts w:hint="eastAsia"/>
              </w:rPr>
              <w:t>，最低价为基准价，得对应路线分值的满分。其价格分为X分。其他参选人的报价分统一按照下列公式计算：报价得分＝X×（评标基准价÷投标报价）</w:t>
            </w:r>
          </w:p>
          <w:p>
            <w:pPr>
              <w:spacing w:line="400" w:lineRule="exact"/>
              <w:ind w:firstLine="420" w:firstLineChars="200"/>
              <w:rPr>
                <w:rFonts w:hint="eastAsia"/>
              </w:rPr>
            </w:pPr>
            <w:r>
              <w:rPr>
                <w:rFonts w:hint="eastAsia"/>
              </w:rPr>
              <w:t>常温线计算规则：</w:t>
            </w:r>
          </w:p>
          <w:p>
            <w:pPr>
              <w:spacing w:line="400" w:lineRule="exact"/>
              <w:ind w:firstLine="420" w:firstLineChars="200"/>
              <w:rPr>
                <w:rFonts w:hint="eastAsia"/>
              </w:rPr>
            </w:pPr>
            <w:r>
              <w:rPr>
                <w:rFonts w:hint="eastAsia"/>
                <w:lang w:val="en-US" w:eastAsia="zh-CN"/>
              </w:rPr>
              <w:t>1、</w:t>
            </w:r>
            <w:r>
              <w:rPr>
                <w:rFonts w:hint="eastAsia"/>
              </w:rPr>
              <w:t>常温4.2米</w:t>
            </w:r>
            <w:r>
              <w:rPr>
                <w:rFonts w:hint="eastAsia"/>
                <w:lang w:eastAsia="zh-CN"/>
              </w:rPr>
              <w:t>、</w:t>
            </w:r>
            <w:r>
              <w:rPr>
                <w:rFonts w:hint="eastAsia"/>
                <w:lang w:val="en-US" w:eastAsia="zh-CN"/>
              </w:rPr>
              <w:t>5</w:t>
            </w:r>
            <w:r>
              <w:rPr>
                <w:rFonts w:hint="eastAsia"/>
              </w:rPr>
              <w:t>.2米</w:t>
            </w:r>
            <w:r>
              <w:rPr>
                <w:rFonts w:hint="eastAsia"/>
                <w:lang w:eastAsia="zh-CN"/>
              </w:rPr>
              <w:t>、</w:t>
            </w:r>
            <w:r>
              <w:rPr>
                <w:rFonts w:hint="eastAsia"/>
              </w:rPr>
              <w:t>6.8米、7.6米、9.6米车型各占</w:t>
            </w:r>
            <w:r>
              <w:rPr>
                <w:rFonts w:hint="eastAsia"/>
                <w:lang w:val="en-US" w:eastAsia="zh-CN"/>
              </w:rPr>
              <w:t>4</w:t>
            </w:r>
            <w:r>
              <w:rPr>
                <w:rFonts w:hint="eastAsia"/>
              </w:rPr>
              <w:t>分</w:t>
            </w:r>
            <w:r>
              <w:rPr>
                <w:rFonts w:hint="eastAsia"/>
                <w:lang w:eastAsia="zh-CN"/>
              </w:rPr>
              <w:t>；</w:t>
            </w:r>
            <w:r>
              <w:rPr>
                <w:rFonts w:hint="eastAsia"/>
              </w:rPr>
              <w:t>12</w:t>
            </w:r>
            <w:r>
              <w:rPr>
                <w:rFonts w:hint="eastAsia"/>
                <w:lang w:val="en-US" w:eastAsia="zh-CN"/>
              </w:rPr>
              <w:t>.5</w:t>
            </w:r>
            <w:r>
              <w:rPr>
                <w:rFonts w:hint="eastAsia"/>
              </w:rPr>
              <w:t>米、15</w:t>
            </w:r>
            <w:r>
              <w:rPr>
                <w:rFonts w:hint="eastAsia"/>
                <w:lang w:val="en-US" w:eastAsia="zh-CN"/>
              </w:rPr>
              <w:t>.5</w:t>
            </w:r>
            <w:r>
              <w:rPr>
                <w:rFonts w:hint="eastAsia"/>
              </w:rPr>
              <w:t>米车型各占2分，</w:t>
            </w:r>
            <w:r>
              <w:rPr>
                <w:rFonts w:hint="eastAsia"/>
                <w:lang w:eastAsia="zh-CN"/>
              </w:rPr>
              <w:t>（</w:t>
            </w:r>
            <w:r>
              <w:rPr>
                <w:rFonts w:hint="eastAsia"/>
              </w:rPr>
              <w:t>取0-300</w:t>
            </w:r>
            <w:r>
              <w:rPr>
                <w:rFonts w:hint="eastAsia"/>
                <w:lang w:val="en-US" w:eastAsia="zh-CN"/>
              </w:rPr>
              <w:t>公里报价80%</w:t>
            </w:r>
            <w:r>
              <w:rPr>
                <w:rFonts w:hint="eastAsia"/>
              </w:rPr>
              <w:t>，300</w:t>
            </w:r>
            <w:r>
              <w:rPr>
                <w:rFonts w:hint="eastAsia"/>
                <w:lang w:val="en-US" w:eastAsia="zh-CN"/>
              </w:rPr>
              <w:t>公里</w:t>
            </w:r>
            <w:r>
              <w:rPr>
                <w:rFonts w:hint="eastAsia"/>
              </w:rPr>
              <w:t>以上的</w:t>
            </w:r>
            <w:r>
              <w:rPr>
                <w:rFonts w:hint="eastAsia"/>
                <w:lang w:val="en-US" w:eastAsia="zh-CN"/>
              </w:rPr>
              <w:t>报价20%汇总</w:t>
            </w:r>
            <w:r>
              <w:rPr>
                <w:rFonts w:hint="eastAsia"/>
              </w:rPr>
              <w:t>单价</w:t>
            </w:r>
            <w:r>
              <w:rPr>
                <w:rFonts w:hint="eastAsia"/>
                <w:lang w:eastAsia="zh-CN"/>
              </w:rPr>
              <w:t>）</w:t>
            </w:r>
            <w:r>
              <w:rPr>
                <w:rFonts w:hint="eastAsia"/>
              </w:rPr>
              <w:t>，最低的为基准价得满分.其价格分为X分。其他参选人的报价分统一按照下列公式计算：报价得分＝X×（评标基准价÷投标报价）</w:t>
            </w:r>
          </w:p>
          <w:p>
            <w:pPr>
              <w:spacing w:line="400" w:lineRule="exact"/>
              <w:ind w:firstLine="420" w:firstLineChars="200"/>
              <w:jc w:val="both"/>
              <w:rPr>
                <w:rFonts w:hint="eastAsia"/>
                <w:lang w:val="en-US" w:eastAsia="zh-CN"/>
              </w:rPr>
            </w:pPr>
            <w:r>
              <w:rPr>
                <w:rFonts w:hint="eastAsia"/>
                <w:lang w:val="en-US" w:eastAsia="zh-CN"/>
              </w:rPr>
              <w:t>2、以上车型最低起运公里为</w:t>
            </w:r>
            <w:r>
              <w:rPr>
                <w:rFonts w:hint="eastAsia"/>
                <w:u w:val="single"/>
                <w:lang w:val="en-US" w:eastAsia="zh-CN"/>
              </w:rPr>
              <w:t xml:space="preserve">    </w:t>
            </w:r>
            <w:r>
              <w:rPr>
                <w:rFonts w:hint="eastAsia"/>
                <w:lang w:val="en-US" w:eastAsia="zh-CN"/>
              </w:rPr>
              <w:t>公里（2分）最低公里数得2分每超过1公里扣0.5分，扣完为止。</w:t>
            </w:r>
          </w:p>
          <w:p>
            <w:pPr>
              <w:pStyle w:val="2"/>
              <w:ind w:left="0" w:leftChars="0" w:firstLine="420" w:firstLineChars="200"/>
              <w:rPr>
                <w:rFonts w:hint="default"/>
                <w:lang w:val="en-US"/>
              </w:rPr>
            </w:pPr>
            <w:r>
              <w:rPr>
                <w:rFonts w:hint="eastAsia" w:ascii="宋体" w:hAnsi="宋体" w:cs="宋体"/>
                <w:color w:val="FF0000"/>
                <w:kern w:val="0"/>
                <w:szCs w:val="21"/>
                <w:highlight w:val="none"/>
                <w:lang w:val="en-US" w:eastAsia="zh-CN"/>
              </w:rPr>
              <w:t>3、</w:t>
            </w:r>
            <w:r>
              <w:rPr>
                <w:rFonts w:hint="eastAsia" w:ascii="Calibri" w:hAnsi="Calibri" w:eastAsia="宋体" w:cs="Times New Roman"/>
                <w:color w:val="FF0000"/>
                <w:kern w:val="2"/>
                <w:sz w:val="21"/>
                <w:szCs w:val="22"/>
                <w:lang w:val="en-US" w:eastAsia="zh-CN" w:bidi="ar-SA"/>
              </w:rPr>
              <w:t>线路原途的基础上同城新增一个点加</w:t>
            </w:r>
            <w:r>
              <w:rPr>
                <w:rFonts w:hint="eastAsia" w:ascii="Calibri" w:hAnsi="Calibri" w:eastAsia="宋体" w:cs="Times New Roman"/>
                <w:color w:val="FF0000"/>
                <w:kern w:val="2"/>
                <w:sz w:val="21"/>
                <w:szCs w:val="22"/>
                <w:u w:val="single"/>
                <w:lang w:val="en-US" w:eastAsia="zh-CN" w:bidi="ar-SA"/>
              </w:rPr>
              <w:t xml:space="preserve">    </w:t>
            </w:r>
            <w:r>
              <w:rPr>
                <w:rFonts w:hint="eastAsia" w:ascii="Calibri" w:hAnsi="Calibri" w:eastAsia="宋体" w:cs="Times New Roman"/>
                <w:color w:val="FF0000"/>
                <w:kern w:val="2"/>
                <w:sz w:val="21"/>
                <w:szCs w:val="22"/>
                <w:lang w:val="en-US" w:eastAsia="zh-CN" w:bidi="ar-SA"/>
              </w:rPr>
              <w:t xml:space="preserve"> 元/车次</w:t>
            </w:r>
            <w:r>
              <w:rPr>
                <w:rFonts w:hint="eastAsia" w:ascii="Calibri" w:hAnsi="Calibri" w:cs="Times New Roman"/>
                <w:color w:val="FF0000"/>
                <w:kern w:val="2"/>
                <w:sz w:val="21"/>
                <w:szCs w:val="22"/>
                <w:lang w:val="en-US" w:eastAsia="zh-CN" w:bidi="ar-SA"/>
              </w:rPr>
              <w:t>（最高限价50元/车次），价位最低得2分，</w:t>
            </w:r>
            <w:r>
              <w:rPr>
                <w:rFonts w:hint="eastAsia"/>
                <w:color w:val="FF0000"/>
                <w:lang w:val="en-US" w:eastAsia="zh-CN"/>
              </w:rPr>
              <w:t>每超过5元扣0.5分，扣完为止。</w:t>
            </w:r>
          </w:p>
        </w:tc>
        <w:tc>
          <w:tcPr>
            <w:tcW w:w="1156" w:type="dxa"/>
            <w:tcBorders>
              <w:tl2br w:val="nil"/>
              <w:tr2bl w:val="nil"/>
            </w:tcBorders>
            <w:noWrap w:val="0"/>
            <w:tcMar>
              <w:top w:w="12" w:type="dxa"/>
              <w:left w:w="12" w:type="dxa"/>
              <w:right w:w="12" w:type="dxa"/>
            </w:tcMar>
            <w:vAlign w:val="center"/>
          </w:tcPr>
          <w:p>
            <w:pPr>
              <w:widowControl/>
              <w:spacing w:line="400" w:lineRule="exact"/>
              <w:jc w:val="left"/>
              <w:rPr>
                <w:rFonts w:ascii="宋体" w:hAnsi="宋体" w:eastAsia="宋体" w:cs="宋体"/>
                <w:sz w:val="13"/>
                <w:szCs w:val="15"/>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5" w:hRule="atLeast"/>
          <w:jc w:val="center"/>
        </w:trPr>
        <w:tc>
          <w:tcPr>
            <w:tcW w:w="367" w:type="dxa"/>
            <w:tcBorders>
              <w:tl2br w:val="nil"/>
              <w:tr2bl w:val="nil"/>
            </w:tcBorders>
            <w:noWrap w:val="0"/>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szCs w:val="21"/>
              </w:rPr>
              <w:t>2</w:t>
            </w:r>
          </w:p>
        </w:tc>
        <w:tc>
          <w:tcPr>
            <w:tcW w:w="612" w:type="dxa"/>
            <w:tcBorders>
              <w:tl2br w:val="nil"/>
              <w:tr2bl w:val="nil"/>
            </w:tcBorders>
            <w:noWrap w:val="0"/>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自有车辆数量</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10</w:t>
            </w:r>
          </w:p>
        </w:tc>
        <w:tc>
          <w:tcPr>
            <w:tcW w:w="6326" w:type="dxa"/>
            <w:tcBorders>
              <w:tl2br w:val="nil"/>
              <w:tr2bl w:val="nil"/>
            </w:tcBorders>
            <w:noWrap w:val="0"/>
            <w:tcMar>
              <w:top w:w="12" w:type="dxa"/>
              <w:left w:w="12" w:type="dxa"/>
              <w:right w:w="12" w:type="dxa"/>
            </w:tcMar>
            <w:vAlign w:val="center"/>
          </w:tcPr>
          <w:p>
            <w:pPr>
              <w:widowControl/>
              <w:spacing w:line="400" w:lineRule="exact"/>
              <w:jc w:val="left"/>
              <w:textAlignment w:val="center"/>
              <w:rPr>
                <w:rFonts w:hint="eastAsia" w:ascii="宋体" w:hAnsi="宋体" w:eastAsia="宋体" w:cs="宋体"/>
                <w:szCs w:val="21"/>
                <w:highlight w:val="none"/>
                <w:lang w:eastAsia="zh-CN"/>
              </w:rPr>
            </w:pPr>
            <w:r>
              <w:rPr>
                <w:rFonts w:hint="eastAsia" w:ascii="宋体" w:hAnsi="宋体" w:eastAsia="宋体" w:cs="宋体"/>
                <w:color w:val="auto"/>
                <w:kern w:val="0"/>
                <w:szCs w:val="21"/>
                <w:highlight w:val="none"/>
              </w:rPr>
              <w:t>自有车辆（</w:t>
            </w:r>
            <w:r>
              <w:rPr>
                <w:rFonts w:hint="eastAsia" w:ascii="宋体" w:hAnsi="宋体" w:cs="宋体"/>
                <w:color w:val="auto"/>
                <w:kern w:val="0"/>
                <w:szCs w:val="21"/>
                <w:highlight w:val="none"/>
                <w:lang w:val="en-US" w:eastAsia="zh-CN"/>
              </w:rPr>
              <w:t>行驶证在投标公司名下的</w:t>
            </w:r>
            <w:r>
              <w:rPr>
                <w:rFonts w:hint="eastAsia" w:ascii="宋体" w:hAnsi="宋体" w:eastAsia="宋体" w:cs="宋体"/>
                <w:color w:val="auto"/>
                <w:kern w:val="0"/>
                <w:szCs w:val="21"/>
                <w:highlight w:val="none"/>
              </w:rPr>
              <w:t>）：7台得3分，</w:t>
            </w:r>
            <w:r>
              <w:rPr>
                <w:rFonts w:hint="eastAsia" w:ascii="宋体" w:hAnsi="宋体" w:cs="宋体"/>
                <w:color w:val="auto"/>
                <w:kern w:val="0"/>
                <w:szCs w:val="21"/>
                <w:highlight w:val="none"/>
                <w:lang w:val="en-US" w:eastAsia="zh-CN"/>
              </w:rPr>
              <w:t>每超过1</w:t>
            </w:r>
            <w:r>
              <w:rPr>
                <w:rFonts w:hint="eastAsia" w:ascii="宋体" w:hAnsi="宋体" w:eastAsia="宋体" w:cs="宋体"/>
                <w:color w:val="auto"/>
                <w:kern w:val="0"/>
                <w:szCs w:val="21"/>
                <w:highlight w:val="none"/>
              </w:rPr>
              <w:t>台得</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5分，</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rPr>
              <w:t>台以上得7分</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评委根据</w:t>
            </w:r>
            <w:r>
              <w:rPr>
                <w:rFonts w:hint="eastAsia" w:ascii="宋体" w:hAnsi="宋体" w:eastAsia="宋体" w:cs="宋体"/>
                <w:color w:val="auto"/>
                <w:kern w:val="0"/>
                <w:szCs w:val="21"/>
                <w:highlight w:val="none"/>
                <w:lang w:val="en-US" w:eastAsia="zh-CN"/>
              </w:rPr>
              <w:t>投标</w:t>
            </w:r>
            <w:r>
              <w:rPr>
                <w:rFonts w:hint="eastAsia" w:ascii="宋体" w:hAnsi="宋体" w:eastAsia="宋体" w:cs="宋体"/>
                <w:color w:val="auto"/>
                <w:kern w:val="0"/>
                <w:szCs w:val="21"/>
                <w:highlight w:val="none"/>
              </w:rPr>
              <w:t>车辆</w:t>
            </w:r>
            <w:r>
              <w:rPr>
                <w:rFonts w:hint="eastAsia" w:ascii="宋体" w:hAnsi="宋体" w:eastAsia="宋体" w:cs="宋体"/>
                <w:color w:val="auto"/>
                <w:kern w:val="0"/>
                <w:szCs w:val="21"/>
                <w:highlight w:val="none"/>
                <w:lang w:val="en-US" w:eastAsia="zh-CN"/>
              </w:rPr>
              <w:t>行驶证购买年限</w:t>
            </w:r>
            <w:r>
              <w:rPr>
                <w:rFonts w:hint="eastAsia" w:ascii="宋体" w:hAnsi="宋体" w:eastAsia="宋体" w:cs="宋体"/>
                <w:color w:val="auto"/>
                <w:kern w:val="0"/>
                <w:szCs w:val="21"/>
                <w:highlight w:val="none"/>
              </w:rPr>
              <w:t>及保险购买情况进行综合得分（0-3）分</w:t>
            </w:r>
          </w:p>
        </w:tc>
        <w:tc>
          <w:tcPr>
            <w:tcW w:w="1156" w:type="dxa"/>
            <w:tcBorders>
              <w:tl2br w:val="nil"/>
              <w:tr2bl w:val="nil"/>
            </w:tcBorders>
            <w:noWrap w:val="0"/>
            <w:tcMar>
              <w:top w:w="12" w:type="dxa"/>
              <w:left w:w="12" w:type="dxa"/>
              <w:right w:w="12" w:type="dxa"/>
            </w:tcMar>
            <w:vAlign w:val="center"/>
          </w:tcPr>
          <w:p>
            <w:pPr>
              <w:widowControl/>
              <w:spacing w:line="400" w:lineRule="exact"/>
              <w:jc w:val="left"/>
              <w:textAlignment w:val="center"/>
              <w:rPr>
                <w:rFonts w:ascii="宋体" w:hAnsi="宋体" w:eastAsia="宋体" w:cs="宋体"/>
                <w:kern w:val="0"/>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82" w:hRule="atLeast"/>
          <w:jc w:val="center"/>
        </w:trPr>
        <w:tc>
          <w:tcPr>
            <w:tcW w:w="367" w:type="dxa"/>
            <w:tcBorders>
              <w:tl2br w:val="nil"/>
              <w:tr2bl w:val="nil"/>
            </w:tcBorders>
            <w:noWrap w:val="0"/>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3</w:t>
            </w:r>
          </w:p>
        </w:tc>
        <w:tc>
          <w:tcPr>
            <w:tcW w:w="61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商务得分</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hint="eastAsia" w:ascii="宋体" w:hAnsi="宋体" w:eastAsia="宋体" w:cs="宋体"/>
                <w:b/>
                <w:szCs w:val="21"/>
                <w:lang w:eastAsia="zh-CN"/>
              </w:rPr>
            </w:pPr>
            <w:r>
              <w:rPr>
                <w:rFonts w:hint="eastAsia" w:ascii="宋体" w:hAnsi="宋体" w:cs="宋体"/>
                <w:b/>
                <w:kern w:val="0"/>
                <w:szCs w:val="21"/>
                <w:lang w:val="en-US" w:eastAsia="zh-CN"/>
              </w:rPr>
              <w:t>8</w:t>
            </w:r>
          </w:p>
        </w:tc>
        <w:tc>
          <w:tcPr>
            <w:tcW w:w="6326" w:type="dxa"/>
            <w:tcBorders>
              <w:tl2br w:val="nil"/>
              <w:tr2bl w:val="nil"/>
            </w:tcBorders>
            <w:noWrap w:val="0"/>
            <w:tcMar>
              <w:top w:w="12" w:type="dxa"/>
              <w:left w:w="12" w:type="dxa"/>
              <w:right w:w="12" w:type="dxa"/>
            </w:tcMar>
            <w:vAlign w:val="center"/>
          </w:tcPr>
          <w:p>
            <w:pPr>
              <w:widowControl/>
              <w:spacing w:line="400" w:lineRule="exact"/>
              <w:jc w:val="left"/>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业绩（3分）：提供</w:t>
            </w:r>
            <w:r>
              <w:rPr>
                <w:rFonts w:hint="eastAsia" w:ascii="宋体" w:hAnsi="宋体" w:cs="宋体"/>
                <w:kern w:val="0"/>
                <w:szCs w:val="21"/>
                <w:highlight w:val="none"/>
                <w:lang w:val="en-US" w:eastAsia="zh-CN"/>
              </w:rPr>
              <w:t>2023年以来</w:t>
            </w:r>
            <w:r>
              <w:rPr>
                <w:rFonts w:hint="eastAsia" w:ascii="宋体" w:hAnsi="宋体" w:eastAsia="宋体" w:cs="宋体"/>
                <w:kern w:val="0"/>
                <w:szCs w:val="21"/>
                <w:highlight w:val="none"/>
              </w:rPr>
              <w:t>与其他单位类似业绩的合同签字盖章扫描件，每提供1份业绩资料得1分，最多3分。</w:t>
            </w:r>
          </w:p>
          <w:p>
            <w:pPr>
              <w:widowControl/>
              <w:spacing w:line="400" w:lineRule="exact"/>
              <w:jc w:val="left"/>
              <w:textAlignment w:val="center"/>
              <w:rPr>
                <w:rFonts w:hint="eastAsia" w:ascii="宋体" w:hAnsi="宋体" w:eastAsia="宋体" w:cs="宋体"/>
                <w:color w:val="auto"/>
                <w:kern w:val="0"/>
                <w:szCs w:val="21"/>
                <w:highlight w:val="magenta"/>
                <w:lang w:eastAsia="zh-CN"/>
              </w:rPr>
            </w:pPr>
            <w:r>
              <w:rPr>
                <w:rFonts w:hint="eastAsia" w:ascii="宋体" w:hAnsi="宋体" w:cs="宋体"/>
                <w:kern w:val="0"/>
                <w:szCs w:val="21"/>
                <w:highlight w:val="none"/>
                <w:lang w:val="en-US" w:eastAsia="zh-CN"/>
              </w:rPr>
              <w:t>管理</w:t>
            </w:r>
            <w:r>
              <w:rPr>
                <w:rFonts w:hint="eastAsia" w:ascii="宋体" w:hAnsi="宋体" w:eastAsia="宋体" w:cs="宋体"/>
                <w:kern w:val="0"/>
                <w:szCs w:val="21"/>
                <w:highlight w:val="none"/>
              </w:rPr>
              <w:t>能力（</w:t>
            </w:r>
            <w:r>
              <w:rPr>
                <w:rFonts w:hint="eastAsia" w:ascii="宋体" w:hAnsi="宋体" w:cs="宋体"/>
                <w:kern w:val="0"/>
                <w:szCs w:val="21"/>
                <w:highlight w:val="none"/>
                <w:lang w:val="en-US" w:eastAsia="zh-CN"/>
              </w:rPr>
              <w:t>2</w:t>
            </w:r>
            <w:r>
              <w:rPr>
                <w:rFonts w:hint="eastAsia" w:ascii="宋体" w:hAnsi="宋体" w:eastAsia="宋体" w:cs="宋体"/>
                <w:kern w:val="0"/>
                <w:szCs w:val="21"/>
                <w:highlight w:val="none"/>
              </w:rPr>
              <w:t>分）：提供</w:t>
            </w:r>
            <w:r>
              <w:rPr>
                <w:rFonts w:hint="eastAsia" w:ascii="宋体" w:hAnsi="宋体" w:cs="宋体"/>
                <w:kern w:val="0"/>
                <w:szCs w:val="21"/>
                <w:highlight w:val="none"/>
                <w:lang w:val="en-US" w:eastAsia="zh-CN"/>
              </w:rPr>
              <w:t>在职人员数量（缴纳社保凭证复印件）最多的得满分</w:t>
            </w: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依序2分、1分类推，最低得1分，</w:t>
            </w:r>
            <w:r>
              <w:rPr>
                <w:rFonts w:hint="eastAsia" w:ascii="宋体" w:hAnsi="宋体" w:eastAsia="宋体" w:cs="宋体"/>
                <w:kern w:val="0"/>
                <w:szCs w:val="21"/>
                <w:highlight w:val="none"/>
              </w:rPr>
              <w:t>未提供不得分。</w:t>
            </w:r>
          </w:p>
          <w:p>
            <w:pPr>
              <w:widowControl/>
              <w:spacing w:line="400" w:lineRule="exact"/>
              <w:jc w:val="left"/>
              <w:textAlignment w:val="center"/>
              <w:rPr>
                <w:rFonts w:ascii="宋体" w:hAnsi="宋体" w:eastAsia="宋体" w:cs="宋体"/>
                <w:szCs w:val="21"/>
                <w:highlight w:val="none"/>
              </w:rPr>
            </w:pPr>
            <w:r>
              <w:rPr>
                <w:rFonts w:hint="eastAsia" w:ascii="宋体" w:hAnsi="宋体" w:eastAsia="宋体" w:cs="宋体"/>
                <w:kern w:val="0"/>
                <w:szCs w:val="21"/>
                <w:highlight w:val="none"/>
              </w:rPr>
              <w:t>应急能力（</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分）：根据提供承诺</w:t>
            </w:r>
            <w:r>
              <w:rPr>
                <w:rFonts w:hint="eastAsia" w:ascii="宋体" w:hAnsi="宋体" w:cs="宋体"/>
                <w:kern w:val="0"/>
                <w:szCs w:val="21"/>
                <w:highlight w:val="none"/>
                <w:lang w:val="en-US" w:eastAsia="zh-CN"/>
              </w:rPr>
              <w:t>产品配送</w:t>
            </w:r>
            <w:r>
              <w:rPr>
                <w:rFonts w:hint="eastAsia" w:ascii="宋体" w:hAnsi="宋体" w:eastAsia="宋体" w:cs="宋体"/>
                <w:kern w:val="0"/>
                <w:szCs w:val="21"/>
                <w:highlight w:val="none"/>
              </w:rPr>
              <w:t>应急方案的有效性及可行性综合得1-</w:t>
            </w:r>
            <w:r>
              <w:rPr>
                <w:rFonts w:hint="eastAsia" w:ascii="宋体" w:hAnsi="宋体" w:cs="宋体"/>
                <w:kern w:val="0"/>
                <w:szCs w:val="21"/>
                <w:highlight w:val="none"/>
                <w:lang w:val="en-US" w:eastAsia="zh-CN"/>
              </w:rPr>
              <w:t>3</w:t>
            </w:r>
            <w:r>
              <w:rPr>
                <w:rFonts w:hint="eastAsia" w:ascii="宋体" w:hAnsi="宋体" w:eastAsia="宋体" w:cs="宋体"/>
                <w:kern w:val="0"/>
                <w:szCs w:val="21"/>
                <w:highlight w:val="none"/>
              </w:rPr>
              <w:t>分,未提供不得分。</w:t>
            </w:r>
          </w:p>
        </w:tc>
        <w:tc>
          <w:tcPr>
            <w:tcW w:w="1156" w:type="dxa"/>
            <w:tcBorders>
              <w:tl2br w:val="nil"/>
              <w:tr2bl w:val="nil"/>
            </w:tcBorders>
            <w:noWrap w:val="0"/>
            <w:tcMar>
              <w:top w:w="12" w:type="dxa"/>
              <w:left w:w="12" w:type="dxa"/>
              <w:right w:w="12" w:type="dxa"/>
            </w:tcMar>
            <w:vAlign w:val="center"/>
          </w:tcPr>
          <w:p>
            <w:pPr>
              <w:widowControl/>
              <w:spacing w:line="400" w:lineRule="exact"/>
              <w:jc w:val="left"/>
              <w:textAlignment w:val="center"/>
              <w:rPr>
                <w:rFonts w:ascii="宋体" w:hAnsi="宋体" w:eastAsia="宋体" w:cs="宋体"/>
                <w:kern w:val="0"/>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79" w:type="dxa"/>
            <w:gridSpan w:val="2"/>
            <w:tcBorders>
              <w:tl2br w:val="nil"/>
              <w:tr2bl w:val="nil"/>
            </w:tcBorders>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总得分</w:t>
            </w:r>
          </w:p>
        </w:tc>
        <w:tc>
          <w:tcPr>
            <w:tcW w:w="552" w:type="dxa"/>
            <w:tcBorders>
              <w:tl2br w:val="nil"/>
              <w:tr2bl w:val="nil"/>
            </w:tcBorders>
            <w:noWrap/>
            <w:tcMar>
              <w:top w:w="12" w:type="dxa"/>
              <w:left w:w="12" w:type="dxa"/>
              <w:right w:w="12"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100</w:t>
            </w:r>
          </w:p>
        </w:tc>
        <w:tc>
          <w:tcPr>
            <w:tcW w:w="6326" w:type="dxa"/>
            <w:tcBorders>
              <w:tl2br w:val="nil"/>
              <w:tr2bl w:val="nil"/>
            </w:tcBorders>
            <w:noWrap w:val="0"/>
            <w:tcMar>
              <w:top w:w="12" w:type="dxa"/>
              <w:left w:w="12" w:type="dxa"/>
              <w:right w:w="12" w:type="dxa"/>
            </w:tcMar>
            <w:vAlign w:val="center"/>
          </w:tcPr>
          <w:p>
            <w:pPr>
              <w:widowControl/>
              <w:spacing w:line="400" w:lineRule="exact"/>
              <w:jc w:val="center"/>
              <w:textAlignment w:val="center"/>
              <w:rPr>
                <w:rFonts w:ascii="宋体" w:hAnsi="宋体" w:eastAsia="宋体" w:cs="宋体"/>
                <w:szCs w:val="21"/>
              </w:rPr>
            </w:pPr>
            <w:r>
              <w:rPr>
                <w:rFonts w:hint="eastAsia" w:ascii="宋体" w:hAnsi="宋体" w:eastAsia="宋体" w:cs="宋体"/>
                <w:kern w:val="0"/>
                <w:szCs w:val="21"/>
              </w:rPr>
              <w:t>/</w:t>
            </w:r>
          </w:p>
        </w:tc>
        <w:tc>
          <w:tcPr>
            <w:tcW w:w="1156" w:type="dxa"/>
            <w:tcBorders>
              <w:tl2br w:val="nil"/>
              <w:tr2bl w:val="nil"/>
            </w:tcBorders>
            <w:noWrap w:val="0"/>
            <w:tcMar>
              <w:top w:w="12" w:type="dxa"/>
              <w:left w:w="12" w:type="dxa"/>
              <w:right w:w="12" w:type="dxa"/>
            </w:tcMar>
            <w:vAlign w:val="center"/>
          </w:tcPr>
          <w:p>
            <w:pPr>
              <w:widowControl/>
              <w:spacing w:line="400" w:lineRule="exact"/>
              <w:jc w:val="center"/>
              <w:textAlignment w:val="center"/>
              <w:rPr>
                <w:rFonts w:ascii="宋体" w:hAnsi="宋体" w:eastAsia="宋体" w:cs="宋体"/>
                <w:kern w:val="0"/>
                <w:szCs w:val="21"/>
              </w:rPr>
            </w:pPr>
          </w:p>
        </w:tc>
      </w:tr>
    </w:tbl>
    <w:p>
      <w:pPr>
        <w:numPr>
          <w:ilvl w:val="0"/>
          <w:numId w:val="4"/>
        </w:numPr>
        <w:spacing w:line="580" w:lineRule="exact"/>
        <w:ind w:firstLine="640" w:firstLineChars="200"/>
        <w:rPr>
          <w:rFonts w:ascii="方正仿宋_GBK" w:eastAsia="方正仿宋_GBK"/>
          <w:sz w:val="32"/>
          <w:szCs w:val="32"/>
        </w:rPr>
      </w:pPr>
    </w:p>
    <w:p>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四、定标和通知</w:t>
      </w:r>
    </w:p>
    <w:p>
      <w:pPr>
        <w:numPr>
          <w:ilvl w:val="0"/>
          <w:numId w:val="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定标：评标小组根据现场评标结果进行综合评估，确定第一中标人。</w:t>
      </w:r>
    </w:p>
    <w:p>
      <w:pPr>
        <w:numPr>
          <w:ilvl w:val="0"/>
          <w:numId w:val="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通知：定标后，招标方将通知中标人；如参选方在比选工作结束后10日内没有接到招标方发出的中标通知书，投标方应视为在本次投标工作中落标。</w:t>
      </w:r>
    </w:p>
    <w:p>
      <w:pPr>
        <w:numPr>
          <w:ilvl w:val="0"/>
          <w:numId w:val="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招标人和中标人于中标通知书发出30日内按照招标文件和中标人的投标文件订立书面合同，中标人按照合同约定履行义务，完成本次比选项目。</w:t>
      </w:r>
    </w:p>
    <w:p>
      <w:pPr>
        <w:spacing w:line="610" w:lineRule="exact"/>
        <w:ind w:firstLine="640" w:firstLineChars="200"/>
        <w:rPr>
          <w:rFonts w:ascii="方正仿宋_GBK" w:eastAsia="方正仿宋_GBK"/>
          <w:sz w:val="32"/>
          <w:szCs w:val="32"/>
        </w:rPr>
      </w:pPr>
    </w:p>
    <w:p>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三</w:t>
      </w:r>
      <w:r>
        <w:rPr>
          <w:rFonts w:ascii="Times New Roman" w:hAnsi="Times New Roman" w:eastAsia="方正黑体_GBK"/>
          <w:bCs/>
          <w:sz w:val="32"/>
          <w:szCs w:val="32"/>
        </w:rPr>
        <w:t>部分：主要技术内容及要求</w:t>
      </w:r>
    </w:p>
    <w:p>
      <w:pPr>
        <w:autoSpaceDE w:val="0"/>
        <w:autoSpaceDN w:val="0"/>
        <w:adjustRightInd w:val="0"/>
        <w:spacing w:line="360" w:lineRule="exact"/>
        <w:rPr>
          <w:rFonts w:ascii="方正黑体_GBK" w:hAnsi="方正黑体_GBK" w:eastAsia="方正黑体_GBK" w:cs="方正黑体_GBK"/>
          <w:bCs/>
          <w:kern w:val="0"/>
          <w:sz w:val="32"/>
          <w:szCs w:val="32"/>
        </w:rPr>
      </w:pPr>
    </w:p>
    <w:p>
      <w:pPr>
        <w:autoSpaceDE w:val="0"/>
        <w:autoSpaceDN w:val="0"/>
        <w:adjustRightInd w:val="0"/>
        <w:spacing w:line="360" w:lineRule="exact"/>
        <w:ind w:firstLine="640" w:firstLineChars="200"/>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一、资质要求</w:t>
      </w:r>
    </w:p>
    <w:p>
      <w:pPr>
        <w:numPr>
          <w:ilvl w:val="0"/>
          <w:numId w:val="6"/>
        </w:numPr>
        <w:spacing w:line="610" w:lineRule="exact"/>
        <w:ind w:firstLine="640" w:firstLineChars="200"/>
        <w:rPr>
          <w:rFonts w:ascii="方正仿宋_GBK" w:eastAsia="方正仿宋_GBK"/>
          <w:sz w:val="32"/>
          <w:szCs w:val="32"/>
        </w:rPr>
      </w:pPr>
      <w:bookmarkStart w:id="0" w:name="_Ref467988698"/>
      <w:bookmarkStart w:id="1" w:name="_Toc73427857"/>
      <w:bookmarkStart w:id="2" w:name="_Toc484512238"/>
      <w:bookmarkStart w:id="3" w:name="_Toc70044374"/>
      <w:bookmarkStart w:id="4" w:name="_Toc73427856"/>
      <w:r>
        <w:rPr>
          <w:rFonts w:hint="eastAsia" w:ascii="方正仿宋_GBK" w:eastAsia="方正仿宋_GBK"/>
          <w:sz w:val="32"/>
          <w:szCs w:val="32"/>
        </w:rPr>
        <w:t>投标人必须具有独立法人资格。</w:t>
      </w:r>
    </w:p>
    <w:p>
      <w:pPr>
        <w:numPr>
          <w:ilvl w:val="0"/>
          <w:numId w:val="6"/>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投标人需提供有效的营业执照和道路运输许可证复印件等有效资质证明，加盖企业鲜章。</w:t>
      </w:r>
    </w:p>
    <w:p>
      <w:pPr>
        <w:numPr>
          <w:ilvl w:val="0"/>
          <w:numId w:val="6"/>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非法定代表人投标，需提供法人代表授权委托书及法人代表和被委托人的身份证复印件，加盖企业鲜章。</w:t>
      </w:r>
    </w:p>
    <w:p>
      <w:pPr>
        <w:numPr>
          <w:ilvl w:val="0"/>
          <w:numId w:val="6"/>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投标人必须提供有效期内7个自有低温冷链车辆相关信息。</w:t>
      </w:r>
    </w:p>
    <w:p>
      <w:pPr>
        <w:numPr>
          <w:ilvl w:val="0"/>
          <w:numId w:val="6"/>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投标人应承诺在签订合同后45天内办理渭南市高新北区至相关线路区域货车通行证。</w:t>
      </w:r>
    </w:p>
    <w:p>
      <w:pPr>
        <w:spacing w:line="6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二、技术要求</w:t>
      </w:r>
    </w:p>
    <w:bookmarkEnd w:id="0"/>
    <w:bookmarkEnd w:id="1"/>
    <w:bookmarkEnd w:id="2"/>
    <w:bookmarkEnd w:id="3"/>
    <w:bookmarkEnd w:id="4"/>
    <w:p>
      <w:pPr>
        <w:spacing w:line="600" w:lineRule="exact"/>
        <w:ind w:firstLine="640" w:firstLineChars="200"/>
        <w:rPr>
          <w:rFonts w:ascii="方正仿宋_GBK" w:eastAsia="方正仿宋_GBK"/>
          <w:color w:val="auto"/>
          <w:sz w:val="32"/>
          <w:szCs w:val="32"/>
        </w:rPr>
      </w:pPr>
      <w:r>
        <w:rPr>
          <w:rFonts w:hint="eastAsia" w:ascii="方正仿宋_GBK" w:eastAsia="方正仿宋_GBK"/>
          <w:sz w:val="32"/>
          <w:szCs w:val="32"/>
        </w:rPr>
        <w:t>投标人提供的配送车辆必须全程在线温度监控和</w:t>
      </w:r>
      <w:r>
        <w:rPr>
          <w:rFonts w:hint="eastAsia" w:ascii="方正仿宋_GBK" w:eastAsia="方正仿宋_GBK"/>
          <w:color w:val="auto"/>
          <w:sz w:val="32"/>
          <w:szCs w:val="32"/>
        </w:rPr>
        <w:t>GPS等定位装置。</w:t>
      </w:r>
    </w:p>
    <w:p>
      <w:pPr>
        <w:spacing w:line="600" w:lineRule="exact"/>
        <w:ind w:firstLine="640" w:firstLineChars="200"/>
        <w:rPr>
          <w:rFonts w:ascii="Times New Roman" w:hAnsi="Times New Roman"/>
          <w:b/>
          <w:sz w:val="24"/>
          <w:szCs w:val="24"/>
        </w:rPr>
      </w:pPr>
      <w:r>
        <w:rPr>
          <w:rFonts w:hint="eastAsia" w:ascii="方正黑体_GBK" w:hAnsi="方正黑体_GBK" w:eastAsia="方正黑体_GBK" w:cs="方正黑体_GBK"/>
          <w:bCs/>
          <w:sz w:val="32"/>
          <w:szCs w:val="32"/>
        </w:rPr>
        <w:t>三、验收标准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投标人将货物按时送至甲方指定地点，装车货品的包装、数量、质量、温度等进行检查和签收。</w:t>
      </w:r>
    </w:p>
    <w:p>
      <w:pPr>
        <w:spacing w:line="0" w:lineRule="atLeast"/>
        <w:jc w:val="center"/>
        <w:rPr>
          <w:rFonts w:ascii="Times New Roman" w:hAnsi="Times New Roman" w:eastAsia="方正黑体_GBK"/>
          <w:bCs/>
          <w:sz w:val="32"/>
          <w:szCs w:val="32"/>
        </w:rPr>
      </w:pPr>
    </w:p>
    <w:p>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四</w:t>
      </w:r>
      <w:r>
        <w:rPr>
          <w:rFonts w:ascii="Times New Roman" w:hAnsi="Times New Roman" w:eastAsia="方正黑体_GBK"/>
          <w:bCs/>
          <w:sz w:val="32"/>
          <w:szCs w:val="32"/>
        </w:rPr>
        <w:t>部分：</w:t>
      </w:r>
      <w:r>
        <w:rPr>
          <w:rFonts w:hint="eastAsia" w:ascii="Times New Roman" w:hAnsi="Times New Roman" w:eastAsia="方正黑体_GBK"/>
          <w:bCs/>
          <w:sz w:val="32"/>
          <w:szCs w:val="32"/>
        </w:rPr>
        <w:t>合同主要条款</w:t>
      </w:r>
    </w:p>
    <w:p>
      <w:pPr>
        <w:spacing w:line="58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第一条、说明</w:t>
      </w:r>
    </w:p>
    <w:p>
      <w:pPr>
        <w:spacing w:line="580" w:lineRule="exact"/>
        <w:ind w:left="-2" w:firstLine="640" w:firstLineChars="200"/>
        <w:jc w:val="lef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委托方（以下简称甲方），承运方（以下简称乙方）。甲方因工作需要，为进一步优化物流配送、提高生产效率，决定将部分物流配送工作承包给乙方，具体内容如下：</w:t>
      </w:r>
    </w:p>
    <w:p>
      <w:pPr>
        <w:spacing w:line="58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第二条、行为准则</w:t>
      </w:r>
    </w:p>
    <w:p>
      <w:pPr>
        <w:numPr>
          <w:ilvl w:val="0"/>
          <w:numId w:val="7"/>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乙方在严格遵守国家的法律法规范围内接受甲方委托，为甲方提供常、低温乳制品及相关物资（以下简称货物）的运输服务。</w:t>
      </w:r>
    </w:p>
    <w:p>
      <w:pPr>
        <w:numPr>
          <w:ilvl w:val="0"/>
          <w:numId w:val="7"/>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乙方保障积极高效地完成甲方所委托的货运业务，同时协助维护甲方的利益，遵守甲方的各项规章制度。</w:t>
      </w:r>
    </w:p>
    <w:p>
      <w:pPr>
        <w:spacing w:line="58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第三条、邀标内容</w:t>
      </w:r>
    </w:p>
    <w:p>
      <w:pPr>
        <w:numPr>
          <w:ilvl w:val="0"/>
          <w:numId w:val="8"/>
        </w:numPr>
        <w:spacing w:line="610" w:lineRule="exact"/>
        <w:ind w:left="-640" w:leftChars="0" w:firstLine="640" w:firstLineChars="0"/>
        <w:rPr>
          <w:rFonts w:ascii="方正仿宋_GBK" w:eastAsia="方正仿宋_GBK"/>
          <w:sz w:val="32"/>
          <w:szCs w:val="32"/>
        </w:rPr>
      </w:pPr>
      <w:r>
        <w:rPr>
          <w:rFonts w:hint="eastAsia" w:ascii="方正仿宋_GBK" w:eastAsia="方正仿宋_GBK"/>
          <w:sz w:val="32"/>
          <w:szCs w:val="32"/>
        </w:rPr>
        <w:t>乙方负责提供将甲方的货物从甲方指定地点送达甲方货物运输单据上标明的收货地址的货物运输服务。</w:t>
      </w:r>
    </w:p>
    <w:p>
      <w:pPr>
        <w:numPr>
          <w:ilvl w:val="0"/>
          <w:numId w:val="8"/>
        </w:numPr>
        <w:spacing w:line="610" w:lineRule="exact"/>
        <w:ind w:left="-640" w:leftChars="0" w:firstLine="640" w:firstLineChars="0"/>
        <w:rPr>
          <w:rFonts w:ascii="方正仿宋_GBK" w:eastAsia="方正仿宋_GBK"/>
          <w:sz w:val="32"/>
          <w:szCs w:val="32"/>
        </w:rPr>
      </w:pPr>
      <w:r>
        <w:rPr>
          <w:rFonts w:hint="eastAsia" w:ascii="方正仿宋_GBK" w:eastAsia="方正仿宋_GBK"/>
          <w:sz w:val="32"/>
          <w:szCs w:val="32"/>
        </w:rPr>
        <w:t>乙方保证其运输车辆符合甲方货物特性要求，满足公路货物运输要求，车况符合《中华人民共和国交通法》规定的出车标准。</w:t>
      </w:r>
    </w:p>
    <w:p>
      <w:pPr>
        <w:numPr>
          <w:ilvl w:val="0"/>
          <w:numId w:val="8"/>
        </w:numPr>
        <w:spacing w:line="610" w:lineRule="exact"/>
        <w:ind w:left="-640" w:leftChars="0" w:firstLine="640" w:firstLineChars="0"/>
        <w:rPr>
          <w:rFonts w:ascii="方正仿宋_GBK" w:eastAsia="方正仿宋_GBK"/>
          <w:sz w:val="32"/>
          <w:szCs w:val="32"/>
        </w:rPr>
      </w:pPr>
      <w:r>
        <w:rPr>
          <w:rFonts w:hint="eastAsia" w:ascii="方正仿宋_GBK" w:eastAsia="方正仿宋_GBK"/>
          <w:sz w:val="32"/>
          <w:szCs w:val="32"/>
        </w:rPr>
        <w:t>乙方全力保证双方商定的货物运输服务标准，提供高质量的服务，做好货物质量防护保障，以保证合作质量的持续改进。</w:t>
      </w:r>
    </w:p>
    <w:p>
      <w:pPr>
        <w:numPr>
          <w:ilvl w:val="0"/>
          <w:numId w:val="8"/>
        </w:numPr>
        <w:spacing w:line="610" w:lineRule="exact"/>
        <w:ind w:left="-640" w:leftChars="0" w:firstLine="640" w:firstLineChars="0"/>
        <w:rPr>
          <w:rFonts w:ascii="方正仿宋_GBK" w:eastAsia="方正仿宋_GBK"/>
          <w:sz w:val="32"/>
          <w:szCs w:val="32"/>
        </w:rPr>
      </w:pPr>
      <w:r>
        <w:rPr>
          <w:rFonts w:hint="eastAsia" w:ascii="方正仿宋_GBK" w:eastAsia="方正仿宋_GBK"/>
          <w:sz w:val="32"/>
          <w:szCs w:val="32"/>
        </w:rPr>
        <w:t>乙方承运甲方配送车配备的车辆、人员必须按要求具备相关有效证件（驾驶证、健康证明）、资质及所涉及区域通行证等，并随车携带以备查验。</w:t>
      </w:r>
    </w:p>
    <w:p>
      <w:pPr>
        <w:spacing w:line="58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第四条、标准程序</w:t>
      </w:r>
    </w:p>
    <w:p>
      <w:pPr>
        <w:numPr>
          <w:ilvl w:val="0"/>
          <w:numId w:val="9"/>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乙方为甲方提供的低温货物配送车辆为制冷厢式车，提供的常温货物配送车辆为厢式车或有防雨防冻装备的货车。</w:t>
      </w:r>
    </w:p>
    <w:p>
      <w:pPr>
        <w:numPr>
          <w:ilvl w:val="0"/>
          <w:numId w:val="9"/>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每次承运服务，甲方需在发运前3小时通知乙方。乙方必须在约定时间内调度车辆到甲方指定的地点装载货物。乙方为甲方提供的配送车为固定业务，直至甲方通知乙方终止业务，如有新增路线按双方约定的公里单价结合双方确认的公里数协调一致后确定。</w:t>
      </w:r>
    </w:p>
    <w:p>
      <w:pPr>
        <w:numPr>
          <w:ilvl w:val="0"/>
          <w:numId w:val="9"/>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甲方按约定时间把货物放至指定区域后，由乙方核对货物的数量和货物包装完整后签单确认即视为货物移交给乙方。</w:t>
      </w:r>
    </w:p>
    <w:p>
      <w:pPr>
        <w:numPr>
          <w:ilvl w:val="0"/>
          <w:numId w:val="9"/>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每次承运服务，甲方必须准确无误地提供装卸货物信息，装货地点、收货人姓名、详细地址及有效联系方式等。</w:t>
      </w:r>
    </w:p>
    <w:p>
      <w:pPr>
        <w:numPr>
          <w:ilvl w:val="0"/>
          <w:numId w:val="9"/>
        </w:numPr>
        <w:spacing w:line="610" w:lineRule="exact"/>
        <w:ind w:firstLine="640" w:firstLineChars="200"/>
        <w:rPr>
          <w:rFonts w:ascii="方正仿宋_GBK" w:eastAsia="方正仿宋_GBK"/>
          <w:sz w:val="32"/>
          <w:szCs w:val="32"/>
        </w:rPr>
      </w:pPr>
      <w:r>
        <w:rPr>
          <w:rFonts w:hint="eastAsia" w:ascii="方正仿宋_GBK" w:hAnsi="方正仿宋_GBK" w:eastAsia="方正仿宋_GBK" w:cs="方正仿宋_GBK"/>
          <w:sz w:val="32"/>
          <w:szCs w:val="32"/>
          <w:highlight w:val="none"/>
        </w:rPr>
        <w:t>每次承运服务，</w:t>
      </w:r>
      <w:r>
        <w:rPr>
          <w:rFonts w:hint="eastAsia" w:ascii="方正仿宋_GBK" w:eastAsia="方正仿宋_GBK"/>
          <w:sz w:val="32"/>
          <w:szCs w:val="32"/>
        </w:rPr>
        <w:t>配送车辆的安排由乙方</w:t>
      </w:r>
      <w:r>
        <w:rPr>
          <w:rFonts w:hint="eastAsia" w:ascii="方正仿宋_GBK" w:eastAsia="方正仿宋_GBK"/>
          <w:sz w:val="32"/>
          <w:szCs w:val="32"/>
          <w:lang w:eastAsia="zh-CN"/>
        </w:rPr>
        <w:t>根据甲方</w:t>
      </w:r>
      <w:r>
        <w:rPr>
          <w:rFonts w:hint="eastAsia" w:ascii="方正仿宋_GBK" w:eastAsia="方正仿宋_GBK"/>
          <w:sz w:val="32"/>
          <w:szCs w:val="32"/>
          <w:lang w:val="en-US" w:eastAsia="zh-CN"/>
        </w:rPr>
        <w:t>当天</w:t>
      </w:r>
      <w:r>
        <w:rPr>
          <w:rFonts w:hint="eastAsia" w:ascii="方正仿宋_GBK" w:eastAsia="方正仿宋_GBK"/>
          <w:sz w:val="32"/>
          <w:szCs w:val="32"/>
          <w:lang w:eastAsia="zh-CN"/>
        </w:rPr>
        <w:t>货量</w:t>
      </w:r>
      <w:r>
        <w:rPr>
          <w:rFonts w:hint="eastAsia" w:ascii="方正仿宋_GBK" w:eastAsia="方正仿宋_GBK"/>
          <w:sz w:val="32"/>
          <w:szCs w:val="32"/>
          <w:lang w:val="en-US" w:eastAsia="zh-CN"/>
        </w:rPr>
        <w:t>制定出当天线路配送表并</w:t>
      </w:r>
      <w:r>
        <w:rPr>
          <w:rFonts w:hint="eastAsia" w:ascii="方正仿宋_GBK" w:eastAsia="方正仿宋_GBK"/>
          <w:sz w:val="32"/>
          <w:szCs w:val="32"/>
          <w:lang w:eastAsia="zh-CN"/>
        </w:rPr>
        <w:t>打印相关配送单据。</w:t>
      </w:r>
      <w:r>
        <w:rPr>
          <w:rFonts w:hint="eastAsia" w:ascii="方正仿宋_GBK" w:eastAsia="方正仿宋_GBK"/>
          <w:sz w:val="32"/>
          <w:szCs w:val="32"/>
        </w:rPr>
        <w:t>乙方</w:t>
      </w:r>
      <w:r>
        <w:rPr>
          <w:rFonts w:hint="eastAsia" w:ascii="方正仿宋_GBK" w:eastAsia="方正仿宋_GBK"/>
          <w:sz w:val="32"/>
          <w:szCs w:val="32"/>
          <w:lang w:val="en-US" w:eastAsia="zh-CN"/>
        </w:rPr>
        <w:t>车辆</w:t>
      </w:r>
      <w:r>
        <w:rPr>
          <w:rFonts w:hint="eastAsia" w:ascii="方正仿宋_GBK" w:eastAsia="方正仿宋_GBK"/>
          <w:sz w:val="32"/>
          <w:szCs w:val="32"/>
        </w:rPr>
        <w:t>必须全程监控</w:t>
      </w:r>
      <w:r>
        <w:rPr>
          <w:rFonts w:hint="eastAsia" w:ascii="方正仿宋_GBK" w:eastAsia="方正仿宋_GBK"/>
          <w:sz w:val="32"/>
          <w:szCs w:val="32"/>
          <w:lang w:eastAsia="zh-CN"/>
        </w:rPr>
        <w:t>和</w:t>
      </w:r>
      <w:r>
        <w:rPr>
          <w:rFonts w:hint="eastAsia" w:ascii="方正仿宋_GBK" w:eastAsia="方正仿宋_GBK"/>
          <w:sz w:val="32"/>
          <w:szCs w:val="32"/>
          <w:lang w:val="en-US" w:eastAsia="zh-CN"/>
        </w:rPr>
        <w:t>GPS定位</w:t>
      </w:r>
      <w:r>
        <w:rPr>
          <w:rFonts w:hint="eastAsia" w:ascii="方正仿宋_GBK" w:eastAsia="方正仿宋_GBK"/>
          <w:sz w:val="32"/>
          <w:szCs w:val="32"/>
        </w:rPr>
        <w:t>，及时反馈信息，并按照</w:t>
      </w:r>
      <w:r>
        <w:rPr>
          <w:rFonts w:hint="eastAsia" w:ascii="方正仿宋_GBK" w:hAnsi="方正仿宋_GBK" w:eastAsia="方正仿宋_GBK" w:cs="方正仿宋_GBK"/>
          <w:sz w:val="32"/>
          <w:szCs w:val="32"/>
          <w:highlight w:val="none"/>
        </w:rPr>
        <w:t>甲方提供的信息将</w:t>
      </w:r>
      <w:r>
        <w:rPr>
          <w:rFonts w:hint="eastAsia" w:ascii="方正仿宋_GBK" w:hAnsi="方正仿宋_GBK" w:eastAsia="方正仿宋_GBK" w:cs="方正仿宋_GBK"/>
          <w:sz w:val="32"/>
          <w:szCs w:val="32"/>
          <w:highlight w:val="none"/>
          <w:lang w:eastAsia="zh-CN"/>
        </w:rPr>
        <w:t>货物</w:t>
      </w:r>
      <w:r>
        <w:rPr>
          <w:rFonts w:hint="eastAsia" w:ascii="方正仿宋_GBK" w:hAnsi="方正仿宋_GBK" w:eastAsia="方正仿宋_GBK" w:cs="方正仿宋_GBK"/>
          <w:sz w:val="32"/>
          <w:szCs w:val="32"/>
          <w:highlight w:val="none"/>
        </w:rPr>
        <w:t>送至指定地点。</w:t>
      </w:r>
    </w:p>
    <w:p>
      <w:pPr>
        <w:numPr>
          <w:ilvl w:val="0"/>
          <w:numId w:val="9"/>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乙方将货物送至甲方指定地点，甲方应督促收货方及时组织收货，同时对货物的完好性、卫生情况等进行检查和签收。</w:t>
      </w:r>
    </w:p>
    <w:p>
      <w:pPr>
        <w:spacing w:line="58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第五条、运输价格及费用结算</w:t>
      </w:r>
    </w:p>
    <w:p>
      <w:pPr>
        <w:numPr>
          <w:ilvl w:val="0"/>
          <w:numId w:val="10"/>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运输费用凭回单结算：</w:t>
      </w:r>
    </w:p>
    <w:p>
      <w:pPr>
        <w:spacing w:line="58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bCs/>
          <w:sz w:val="32"/>
          <w:szCs w:val="32"/>
        </w:rPr>
        <w:t>运输费用结算标准：</w:t>
      </w:r>
    </w:p>
    <w:p>
      <w:pPr>
        <w:numPr>
          <w:ilvl w:val="0"/>
          <w:numId w:val="2"/>
        </w:numPr>
        <w:spacing w:line="58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结算价格，具体以本合同为准。</w:t>
      </w:r>
    </w:p>
    <w:p>
      <w:pPr>
        <w:numPr>
          <w:ilvl w:val="0"/>
          <w:numId w:val="2"/>
        </w:numPr>
        <w:spacing w:line="58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运输价格均含9%有效增值专用税运输发票，运输价格中已包含乙方人员工资以及各类保险福利、过路过桥费、燃油费、停车费、车辆运输相关全额保险费、货物保险费（根据货物价额投保）万元/车等所有费用，甲方不再支付其他任何费用（明确约定另计的除外）。</w:t>
      </w:r>
    </w:p>
    <w:p>
      <w:pPr>
        <w:numPr>
          <w:ilvl w:val="0"/>
          <w:numId w:val="2"/>
        </w:numPr>
        <w:spacing w:line="580" w:lineRule="exact"/>
        <w:ind w:firstLine="640" w:firstLineChars="200"/>
        <w:rPr>
          <w:rFonts w:ascii="方正仿宋_GBK" w:hAnsi="方正仿宋_GBK" w:eastAsia="方正仿宋_GBK" w:cs="方正仿宋_GBK"/>
          <w:bCs/>
          <w:color w:val="auto"/>
          <w:sz w:val="32"/>
          <w:szCs w:val="32"/>
          <w:highlight w:val="none"/>
        </w:rPr>
      </w:pPr>
      <w:r>
        <w:rPr>
          <w:rFonts w:hint="eastAsia" w:ascii="方正仿宋_GBK" w:hAnsi="方正仿宋_GBK" w:eastAsia="方正仿宋_GBK" w:cs="方正仿宋_GBK"/>
          <w:bCs/>
          <w:color w:val="auto"/>
          <w:sz w:val="32"/>
          <w:szCs w:val="32"/>
          <w:highlight w:val="none"/>
        </w:rPr>
        <w:t>乙方负责低温车所有货物的装车、卸货事宜。常温奶专车装车、卸车如由乙方实施的，费用另计</w:t>
      </w:r>
      <w:r>
        <w:rPr>
          <w:rFonts w:hint="eastAsia" w:ascii="方正仿宋_GBK" w:hAnsi="方正仿宋_GBK" w:eastAsia="方正仿宋_GBK" w:cs="方正仿宋_GBK"/>
          <w:bCs/>
          <w:color w:val="auto"/>
          <w:sz w:val="32"/>
          <w:szCs w:val="32"/>
          <w:highlight w:val="none"/>
          <w:lang w:eastAsia="zh-CN"/>
        </w:rPr>
        <w:t>（</w:t>
      </w:r>
      <w:r>
        <w:rPr>
          <w:rFonts w:hint="eastAsia" w:ascii="方正仿宋_GBK" w:hAnsi="方正仿宋_GBK" w:eastAsia="方正仿宋_GBK" w:cs="方正仿宋_GBK"/>
          <w:bCs/>
          <w:color w:val="auto"/>
          <w:sz w:val="32"/>
          <w:szCs w:val="32"/>
          <w:highlight w:val="none"/>
          <w:lang w:val="en-US" w:eastAsia="zh-CN"/>
        </w:rPr>
        <w:t>随当趟运费一同结算）</w:t>
      </w:r>
      <w:r>
        <w:rPr>
          <w:rFonts w:hint="eastAsia" w:ascii="方正仿宋_GBK" w:hAnsi="方正仿宋_GBK" w:eastAsia="方正仿宋_GBK" w:cs="方正仿宋_GBK"/>
          <w:bCs/>
          <w:color w:val="auto"/>
          <w:sz w:val="32"/>
          <w:szCs w:val="32"/>
          <w:highlight w:val="none"/>
        </w:rPr>
        <w:t>。</w:t>
      </w:r>
    </w:p>
    <w:p>
      <w:pPr>
        <w:numPr>
          <w:ilvl w:val="0"/>
          <w:numId w:val="10"/>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运费结算</w:t>
      </w:r>
    </w:p>
    <w:p>
      <w:pPr>
        <w:numPr>
          <w:ilvl w:val="0"/>
          <w:numId w:val="11"/>
        </w:num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运费采用月结方式结算。以每月</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bCs/>
          <w:sz w:val="32"/>
          <w:szCs w:val="32"/>
        </w:rPr>
        <w:t>日为起始日，按月结算。次月5日前完成上月运费对账；乙方每月10日前开具上月相应对帐金额的9%有效增值税专用运输发票给甲方；甲方收到发票后10日内将上月运输费用以转账方式支付给乙方（乙方确认收款账户与乙方开具的增值税发票上面的公司银行账户一致）。</w:t>
      </w:r>
    </w:p>
    <w:p>
      <w:pPr>
        <w:numPr>
          <w:ilvl w:val="0"/>
          <w:numId w:val="11"/>
        </w:numPr>
        <w:spacing w:line="58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甲方未按约定及时足额支付乙方运费的，乙方有权停止提供服务并向甲方收取滞纳金，每日滞纳金按拖欠运费的万分之二收取。</w:t>
      </w:r>
    </w:p>
    <w:p>
      <w:pPr>
        <w:pStyle w:val="2"/>
        <w:numPr>
          <w:ilvl w:val="0"/>
          <w:numId w:val="0"/>
        </w:numPr>
        <w:rPr>
          <w:rFonts w:hint="default" w:eastAsia="宋体"/>
          <w:lang w:val="en-US" w:eastAsia="zh-CN"/>
        </w:rPr>
      </w:pPr>
      <w:r>
        <w:rPr>
          <w:rFonts w:hint="eastAsia"/>
          <w:lang w:val="en-US" w:eastAsia="zh-CN"/>
        </w:rPr>
        <w:t xml:space="preserve"> </w:t>
      </w:r>
    </w:p>
    <w:p>
      <w:pPr>
        <w:spacing w:line="58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第六条、运输要求</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乙方制冷厢式车制冷机的启动要求：用于低温货物配送的车辆应随时保持货箱温度2-6℃；当室外温度超过</w:t>
      </w:r>
      <w:r>
        <w:rPr>
          <w:rFonts w:hint="eastAsia" w:ascii="方正仿宋_GBK" w:eastAsia="方正仿宋_GBK"/>
          <w:sz w:val="32"/>
          <w:szCs w:val="32"/>
          <w:lang w:val="en-US" w:eastAsia="zh-CN"/>
        </w:rPr>
        <w:t>6</w:t>
      </w:r>
      <w:r>
        <w:rPr>
          <w:rFonts w:hint="eastAsia" w:ascii="方正仿宋_GBK" w:eastAsia="方正仿宋_GBK"/>
          <w:sz w:val="32"/>
          <w:szCs w:val="32"/>
        </w:rPr>
        <w:t>℃时，装车前应对货箱实施预冷</w:t>
      </w:r>
      <w:r>
        <w:rPr>
          <w:rFonts w:hint="eastAsia" w:ascii="方正仿宋_GBK" w:eastAsia="方正仿宋_GBK"/>
          <w:sz w:val="32"/>
          <w:szCs w:val="32"/>
          <w:lang w:val="en-US" w:eastAsia="zh-CN"/>
        </w:rPr>
        <w:t>至2-6℃</w:t>
      </w:r>
      <w:r>
        <w:rPr>
          <w:rFonts w:hint="eastAsia" w:ascii="方正仿宋_GBK" w:eastAsia="方正仿宋_GBK"/>
          <w:sz w:val="32"/>
          <w:szCs w:val="32"/>
        </w:rPr>
        <w:t>，车门打开后快速将车辆停放于指定安全地点进行货物装卸，装卸过程中冷机须处于启动状态。乙方必须实施监督，发现异常，乙方有责任立即</w:t>
      </w:r>
      <w:r>
        <w:rPr>
          <w:rFonts w:hint="eastAsia" w:ascii="方正仿宋_GBK" w:eastAsia="方正仿宋_GBK"/>
          <w:sz w:val="32"/>
          <w:szCs w:val="32"/>
          <w:lang w:val="en-US" w:eastAsia="zh-CN"/>
        </w:rPr>
        <w:t>告</w:t>
      </w:r>
      <w:r>
        <w:rPr>
          <w:rFonts w:hint="eastAsia" w:ascii="方正仿宋_GBK" w:eastAsia="方正仿宋_GBK"/>
          <w:sz w:val="32"/>
          <w:szCs w:val="32"/>
        </w:rPr>
        <w:t>知甲方</w:t>
      </w:r>
      <w:r>
        <w:rPr>
          <w:rFonts w:hint="eastAsia" w:ascii="方正仿宋_GBK" w:eastAsia="方正仿宋_GBK"/>
          <w:sz w:val="32"/>
          <w:szCs w:val="32"/>
          <w:lang w:val="en-US" w:eastAsia="zh-CN"/>
        </w:rPr>
        <w:t>协助</w:t>
      </w:r>
      <w:r>
        <w:rPr>
          <w:rFonts w:hint="eastAsia" w:ascii="方正仿宋_GBK" w:eastAsia="方正仿宋_GBK"/>
          <w:sz w:val="32"/>
          <w:szCs w:val="32"/>
        </w:rPr>
        <w:t>处理。</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送到货后验收标准：货物温度保持在2-6℃，货物无异味、无腐败变质、包装无破损、变形、无污染等。</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乙方每周应对调派到甲方运货物的制冷车进行温度记录采集，并每周按时将采集的数据传给甲方，以供甲方对货物的质量进行监控检查。</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乙方指派到甲方的运输车辆须车况良好、车容整洁、冷冻机组制冷效果达到本合同约定条件。货厢内部清洗、消毒（常温货物配送车至少每隔三天清洗一次，低温货物配送车每趟清洗一次；所有车辆车厢每周用0.2%~0.5%漂白粉上清液（有效氯50~100mg/L）或200ppm二氧化氯消毒液喷洒消毒一次，并做好清洗、消毒及消毒液配置使用记录。</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货物装车时，乙方人员应对装车情况进行监督，并清点装车数量，禁止野蛮装卸，在装货完成后，乙方须对装车产品的批次、数量、包装完整性、温度等确认后进行签字交接。</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乙方每次配送需持甲方的配送单，到配送地点客户卸货清点后，需客户在配送单上签字确认；发生数量差异时，需当场与甲方指定人员联系确认。</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乙方在卸货结束后，完善相关手续，如有流转包装物及促销物料的将随车的包装物及促销物料收回，清点好数量交回甲方（若包装物有差损，将按约定押金进行赔偿）；并在24小时内将客户签收的配送单回单联带回保存。</w:t>
      </w:r>
    </w:p>
    <w:p>
      <w:pPr>
        <w:numPr>
          <w:ilvl w:val="0"/>
          <w:numId w:val="12"/>
        </w:numPr>
        <w:spacing w:line="610" w:lineRule="exact"/>
        <w:ind w:left="-10" w:leftChars="0" w:firstLine="640" w:firstLineChars="0"/>
        <w:rPr>
          <w:rFonts w:ascii="方正仿宋_GBK" w:eastAsia="方正仿宋_GBK"/>
          <w:sz w:val="32"/>
          <w:szCs w:val="32"/>
        </w:rPr>
      </w:pPr>
      <w:r>
        <w:rPr>
          <w:rFonts w:hint="eastAsia" w:ascii="方正仿宋_GBK" w:eastAsia="方正仿宋_GBK"/>
          <w:sz w:val="32"/>
          <w:szCs w:val="32"/>
        </w:rPr>
        <w:t>为便于双方车辆调度和业务沟通，双方指定相关人员进行业务对接和沟通。</w:t>
      </w:r>
    </w:p>
    <w:p>
      <w:pPr>
        <w:numPr>
          <w:ilvl w:val="0"/>
          <w:numId w:val="12"/>
        </w:numPr>
        <w:spacing w:line="610" w:lineRule="exact"/>
        <w:ind w:left="-10" w:leftChars="0" w:firstLine="640" w:firstLineChars="0"/>
        <w:rPr>
          <w:rFonts w:ascii="方正仿宋_GBK" w:eastAsia="方正仿宋_GBK"/>
          <w:color w:val="0000FF"/>
          <w:sz w:val="32"/>
          <w:szCs w:val="32"/>
        </w:rPr>
      </w:pPr>
      <w:r>
        <w:rPr>
          <w:rFonts w:hint="eastAsia" w:ascii="方正仿宋_GBK" w:eastAsia="方正仿宋_GBK"/>
          <w:sz w:val="32"/>
          <w:szCs w:val="32"/>
          <w:lang w:val="en-US" w:eastAsia="zh-CN"/>
        </w:rPr>
        <w:t>乙方应配合甲方拓展市场宣传，提供15辆以上用于甲方车身广告（设计及粘贴费用由甲方负责，乙方积极配合在甲方规定时间内完成）。</w:t>
      </w:r>
    </w:p>
    <w:p>
      <w:pPr>
        <w:spacing w:line="580" w:lineRule="exact"/>
        <w:ind w:firstLine="640" w:firstLineChars="200"/>
        <w:rPr>
          <w:rFonts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第七条、甲方的权利和义务</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甲方应保证所运货物的合法性，并提前通知乙方相关人员确认运输信息如：产品名称数量、规格、装货地址、到达地址、收货人及联系方式的送货单原件。</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lang w:val="en-US" w:eastAsia="zh-CN"/>
        </w:rPr>
        <w:t>甲方有权按照车辆装载量及配送点位要求，核实乙方所派车辆合理性。</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甲方应保证货物在装车前品质、包装等良好，同时应保证货物到点后客户及时接货，否则因客户直接原因导致接货延时造成的货物损失乙方不承担责任。</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有权利根据运输合同中第6.1条- 6.4条中的验收规定对乙方的承运车辆进行检查，对不符合温度、卫生和食品安全要求的车辆甲方有权考核乙方或要求乙方立即更换车辆，另行派车，由此造成的损失由乙方承担。</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甲方有权按照合同规定，要求乙方提供行车记录和温度记录进行查验，若发现异常，造成的各种损失，甲方有权在本次运费中进行扣除，乙方不得有任何异议。</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甲方应承担因自身原因引起的各种损失。甲方有权追偿因乙方原因造成的各类损失，包含但不仅限于交通事故造成的货损、不按合同约定开启车载制冷机组造成的货损等（货损按出厂价计算）。</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甲方对因乙方原因造成的损失不承担任何责任，包含但不仅限于乙方或其关联业务方人员、车辆造成的损失，如交通违法、车辆超载、交通事故等。</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甲方按合同约定按时将运费以银行转账方式支付给乙方。</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在合同执行过程中，甲方将对乙方的运输质量及服务质量进行评估，若因乙方原因造成甲方或甲方客户的货物出现破损变形等损坏、污染、遗失、未在规定时间内配送到甲方指定地点，服务态度恶劣等情况，甲方有权出据书面纠防措施单，并根据损失大小处以相应的考核扣款，纠防措施单出据三次及以上，甲方有权单方面解除运输合同，立即终止双方的合作，并不承担任何违约责任，且甲方有权要求乙方赔偿因货物出现异常情况造成的全部损失。</w:t>
      </w:r>
    </w:p>
    <w:p>
      <w:pPr>
        <w:numPr>
          <w:ilvl w:val="0"/>
          <w:numId w:val="13"/>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合同执行结束后，若未续签合同或乙方不再为甲方服务，甲方应在合同结束后的三十个工作日内，双方完成对账和开票工作，结清乙方运费。</w:t>
      </w:r>
    </w:p>
    <w:p>
      <w:pPr>
        <w:spacing w:line="580" w:lineRule="exact"/>
        <w:rPr>
          <w:rFonts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rPr>
        <w:t xml:space="preserve">    第八条、乙方的权利和义务</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应按甲方制定出详细的《配送线路时间表》严格按约定好的配送车辆、线路和时间进行配送，不得私自变更时间、车辆。如有特殊情况导致延误或变更车辆，乙方必须在第一时间电话报告并通知所有有影响的环节，说明原因和预计到达时间。乙方在接到甲方发运通知后应及时根据甲方货量安排合适大小的车辆进行配送，若有特殊情况，乙方需超约定加车或变更车型必须经甲方同意后才能进行，车辆需达到本方案6.1条-6.4条要求。运输途中要适时检查，发现异常的情况要及时采取措施并第一时间向甲方指定人员进行通报，保证运输质量和按时到货。</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 xml:space="preserve">乙方应及时将货物安全、完整的运至甲方指定的目的地，交付给指定的收货人，并在甲方提供的送货单上办理相应的货物签收手续，同时收回流转包装物或相关物料。因甲方或甲方客户直接原因导致接货延时超过 </w:t>
      </w:r>
      <w:r>
        <w:rPr>
          <w:rFonts w:hint="eastAsia" w:ascii="方正仿宋_GBK" w:eastAsia="方正仿宋_GBK"/>
          <w:sz w:val="32"/>
          <w:szCs w:val="32"/>
          <w:lang w:val="en-US" w:eastAsia="zh-CN"/>
        </w:rPr>
        <w:t>5</w:t>
      </w:r>
      <w:r>
        <w:rPr>
          <w:rFonts w:hint="eastAsia" w:ascii="方正仿宋_GBK" w:eastAsia="方正仿宋_GBK"/>
          <w:sz w:val="32"/>
          <w:szCs w:val="32"/>
        </w:rPr>
        <w:t xml:space="preserve"> 小时以上，双方核实后甲方每次补偿（500元/趟）的压车费用。</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乙方可接受甲方按照第6.1条-6.4条中的验收规定进行的检查。</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对所承运的甲方货物的名称、批次、数量、质量、安全负责，符合甲方货物承运质量要求并确保与发货单品名、批次一致。乙方不得有利用运输便利自行或窜通他人倒卖甲方货物或任何破坏甲方市场行为的举动。</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乙方不得将甲方货物与其他客户的货物混合装运。</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乙方有权要求甲方按时支付运费，若甲方不按时支付运费，乙方有权停止提供运输服务并按合同约定追偿欠款。</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若甲方未向乙方提供准确的货物信息导致无法装车或直接影响运输安全，乙方有权拒绝提供服务。</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乙方在甲方或甲方客户处须遵守甲方及甲方客户的规章制度，严禁与甲方现场管理人员和甲方客户发生冲突。因乙方服务质量问题导致甲方客户投诉的，乙方需向甲方赔偿相应的损失。</w:t>
      </w:r>
    </w:p>
    <w:p>
      <w:pPr>
        <w:numPr>
          <w:ilvl w:val="0"/>
          <w:numId w:val="14"/>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乙方每周提供给甲方的车辆信息、车辆GPS运行轨迹资料、冷藏车车厢温度曲线或数显值必须保持一致性。</w:t>
      </w:r>
    </w:p>
    <w:p>
      <w:pPr>
        <w:spacing w:line="580" w:lineRule="exact"/>
        <w:ind w:firstLine="640" w:firstLineChars="200"/>
      </w:pPr>
      <w:r>
        <w:rPr>
          <w:rFonts w:hint="eastAsia" w:ascii="方正仿宋_GBK" w:hAnsi="方正仿宋_GBK" w:eastAsia="方正仿宋_GBK" w:cs="方正仿宋_GBK"/>
          <w:sz w:val="32"/>
          <w:szCs w:val="32"/>
          <w:lang w:val="en-US" w:eastAsia="zh-CN"/>
        </w:rPr>
        <w:t>（十）乙方根据当天订单量按照甲方配送要求（市区线路4.2米车型最低配送点位≥5个或装载量≥10m³），制定出当天配送线路表并负责打印相关配送单据及所需耗材。</w:t>
      </w:r>
    </w:p>
    <w:p>
      <w:pPr>
        <w:numPr>
          <w:ilvl w:val="0"/>
          <w:numId w:val="0"/>
        </w:numPr>
        <w:spacing w:line="610" w:lineRule="exact"/>
        <w:ind w:leftChars="200" w:firstLine="320" w:firstLineChars="100"/>
        <w:rPr>
          <w:rFonts w:ascii="方正仿宋_GBK" w:eastAsia="方正仿宋_GBK"/>
          <w:sz w:val="32"/>
          <w:szCs w:val="32"/>
        </w:rPr>
      </w:pPr>
      <w:r>
        <w:rPr>
          <w:rFonts w:hint="eastAsia" w:ascii="方正仿宋_GBK" w:eastAsia="方正仿宋_GBK"/>
          <w:sz w:val="32"/>
          <w:szCs w:val="32"/>
          <w:lang w:eastAsia="zh-CN"/>
        </w:rPr>
        <w:t>（</w:t>
      </w:r>
      <w:r>
        <w:rPr>
          <w:rFonts w:hint="eastAsia" w:ascii="方正仿宋_GBK" w:eastAsia="方正仿宋_GBK"/>
          <w:sz w:val="32"/>
          <w:szCs w:val="32"/>
          <w:lang w:val="en-US" w:eastAsia="zh-CN"/>
        </w:rPr>
        <w:t>十一）</w:t>
      </w:r>
      <w:r>
        <w:rPr>
          <w:rFonts w:hint="eastAsia" w:ascii="方正仿宋_GBK" w:eastAsia="方正仿宋_GBK"/>
          <w:sz w:val="32"/>
          <w:szCs w:val="32"/>
        </w:rPr>
        <w:t>乙方的洗车需求，甲方应积极配合。乙方需在甲方指定地点洗车，甲方提供水电，乙方自行配置洗车工具。乙方洗车产生的水电费，由乙方每月（甲乙双方确认水电耗用数量）28日前付给甲方。乙方负责清理洗车产生的泥沙。</w:t>
      </w:r>
    </w:p>
    <w:p>
      <w:pPr>
        <w:spacing w:line="580" w:lineRule="exac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xml:space="preserve">    第九条、违约及责任</w:t>
      </w:r>
    </w:p>
    <w:p>
      <w:pPr>
        <w:numPr>
          <w:ilvl w:val="0"/>
          <w:numId w:val="1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运输过程中若有交通管制等异常情况导致运输时间延迟，乙方应及时告知甲方，否则延迟1小时以上（含）按本次运输费用的5%进行扣款；若延迟超过2小时按本次运输费用的10%进行扣款（在当月运输费用结算中进行扣除）。</w:t>
      </w:r>
    </w:p>
    <w:p>
      <w:pPr>
        <w:numPr>
          <w:ilvl w:val="0"/>
          <w:numId w:val="1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若乙方未按配送要求进行配送，造成货物损坏、变质、其它损失，货损乙方需按出厂价格照价赔偿，甲方从乙方运费中扣除，运费不够赔偿的由乙方补足，如产生其它损失均由乙方承担。</w:t>
      </w:r>
    </w:p>
    <w:p>
      <w:pPr>
        <w:numPr>
          <w:ilvl w:val="0"/>
          <w:numId w:val="1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应按国家规定为所有承运车辆及人员购买相应全额保险，若乙方在承运中发生的车辆、人员等一切事故，均由乙方全权承担，甲方不承担任何连带责任，同时乙方需赔偿因此事故给甲方造成的一切损失，若运输费用不够赔偿时，甲方有权要求乙方另行支付，乙方不得有任何异议。</w:t>
      </w:r>
    </w:p>
    <w:p>
      <w:pPr>
        <w:numPr>
          <w:ilvl w:val="0"/>
          <w:numId w:val="1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乙方未按时调派车辆，影响甲方货物配送的，甲方有权按所报需求或乙方所承诺车次的运费等额从乙方运费中扣除作为赔偿。如产生其它损失均由乙方承担。</w:t>
      </w:r>
    </w:p>
    <w:p>
      <w:pPr>
        <w:numPr>
          <w:ilvl w:val="0"/>
          <w:numId w:val="1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乙方如有利用运输便利自行或窜通他人倒卖甲方货物或任何破坏甲方市场行为的，甲方可勒令乙方开除当事人员并处以惩罚性扣款。如年度内累计发生3次（含）此类行为的，甲方有权单方解除合同，并保留追究赔偿的权利。</w:t>
      </w:r>
    </w:p>
    <w:p>
      <w:pPr>
        <w:numPr>
          <w:ilvl w:val="0"/>
          <w:numId w:val="1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甲方提供的运输信息错误，导致乙方多或少调派车辆时，少派车时由甲方主动协调保证按时配送到位，多派车时甲方需支付乙方多调派车辆及人员的基本费用。</w:t>
      </w:r>
    </w:p>
    <w:p>
      <w:pPr>
        <w:numPr>
          <w:ilvl w:val="0"/>
          <w:numId w:val="15"/>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在本合同期间，甲、乙双方若需单方面终止运输服务，应提前一个月书面告知对方。若未提前告知对方单方面终止合同，应视为违约，由违约方向守约方支付违约金50万元</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大写伍拾万元整</w:t>
      </w:r>
      <w:r>
        <w:rPr>
          <w:rFonts w:hint="eastAsia" w:ascii="方正仿宋_GBK" w:eastAsia="方正仿宋_GBK"/>
          <w:sz w:val="32"/>
          <w:szCs w:val="32"/>
          <w:lang w:eastAsia="zh-CN"/>
        </w:rPr>
        <w:t>）</w:t>
      </w:r>
      <w:r>
        <w:rPr>
          <w:rFonts w:hint="eastAsia" w:ascii="方正仿宋_GBK" w:eastAsia="方正仿宋_GBK"/>
          <w:sz w:val="32"/>
          <w:szCs w:val="32"/>
        </w:rPr>
        <w:t>。</w:t>
      </w:r>
    </w:p>
    <w:p>
      <w:pPr>
        <w:spacing w:line="580" w:lineRule="exact"/>
        <w:ind w:firstLine="640" w:firstLineChars="200"/>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第十条、免责条款</w:t>
      </w:r>
    </w:p>
    <w:p>
      <w:pPr>
        <w:spacing w:line="58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因不可抗力原因（本合同中指战争、台风、地震、洪水等自然灾害</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lang w:val="en-US" w:eastAsia="zh-CN"/>
        </w:rPr>
        <w:t>须乙方提供地方官方网站通报截图</w:t>
      </w:r>
      <w:r>
        <w:rPr>
          <w:rFonts w:hint="eastAsia" w:ascii="方正仿宋_GBK" w:hAnsi="方正仿宋_GBK" w:eastAsia="方正仿宋_GBK" w:cs="方正仿宋_GBK"/>
          <w:bCs/>
          <w:sz w:val="32"/>
          <w:szCs w:val="32"/>
        </w:rPr>
        <w:t>）而导致配送延误乙方不承担责任。</w:t>
      </w:r>
    </w:p>
    <w:p>
      <w:pPr>
        <w:pStyle w:val="6"/>
        <w:spacing w:line="580" w:lineRule="exact"/>
        <w:ind w:firstLine="640" w:firstLineChars="200"/>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第十一条、合同的变更与其它</w:t>
      </w:r>
    </w:p>
    <w:p>
      <w:pPr>
        <w:numPr>
          <w:ilvl w:val="0"/>
          <w:numId w:val="16"/>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合同未尽事宜，由双方协议补充。补充协议经甲乙双方签字盖章后与本合同具有同等法律效力。</w:t>
      </w:r>
    </w:p>
    <w:p>
      <w:pPr>
        <w:numPr>
          <w:ilvl w:val="0"/>
          <w:numId w:val="16"/>
        </w:num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合同一式四份，甲乙方各执贰份，双方签字盖章后立即生效。</w:t>
      </w:r>
    </w:p>
    <w:p>
      <w:pPr>
        <w:spacing w:line="580" w:lineRule="exact"/>
        <w:ind w:firstLine="640" w:firstLineChars="200"/>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第十二条、合同期限</w:t>
      </w:r>
    </w:p>
    <w:p>
      <w:pPr>
        <w:pStyle w:val="5"/>
        <w:spacing w:line="440" w:lineRule="exact"/>
        <w:ind w:firstLine="640" w:firstLineChars="200"/>
        <w:rPr>
          <w:rFonts w:ascii="方正仿宋_GBK" w:hAnsi="方正仿宋_GBK" w:eastAsia="方正仿宋_GBK" w:cs="方正仿宋_GBK"/>
          <w:bCs/>
          <w:color w:val="FF0000"/>
          <w:sz w:val="32"/>
          <w:szCs w:val="32"/>
          <w:highlight w:val="yellow"/>
        </w:rPr>
      </w:pPr>
      <w:r>
        <w:rPr>
          <w:rFonts w:hint="eastAsia" w:ascii="方正仿宋_GBK" w:hAnsi="方正仿宋_GBK" w:eastAsia="方正仿宋_GBK" w:cs="方正仿宋_GBK"/>
          <w:bCs/>
          <w:sz w:val="32"/>
          <w:szCs w:val="32"/>
        </w:rPr>
        <w:t>本次合同期限一年（202</w:t>
      </w:r>
      <w:r>
        <w:rPr>
          <w:rFonts w:hint="eastAsia" w:ascii="方正仿宋_GBK" w:hAnsi="方正仿宋_GBK" w:eastAsia="方正仿宋_GBK" w:cs="方正仿宋_GBK"/>
          <w:bCs/>
          <w:sz w:val="32"/>
          <w:szCs w:val="32"/>
          <w:lang w:val="en-US" w:eastAsia="zh-CN"/>
        </w:rPr>
        <w:t>6</w:t>
      </w:r>
      <w:r>
        <w:rPr>
          <w:rFonts w:hint="eastAsia" w:ascii="方正仿宋_GBK" w:hAnsi="方正仿宋_GBK" w:eastAsia="方正仿宋_GBK" w:cs="方正仿宋_GBK"/>
          <w:bCs/>
          <w:sz w:val="32"/>
          <w:szCs w:val="32"/>
        </w:rPr>
        <w:t>年1月1日-202</w:t>
      </w:r>
      <w:r>
        <w:rPr>
          <w:rFonts w:hint="eastAsia" w:ascii="方正仿宋_GBK" w:hAnsi="方正仿宋_GBK" w:eastAsia="方正仿宋_GBK" w:cs="方正仿宋_GBK"/>
          <w:bCs/>
          <w:sz w:val="32"/>
          <w:szCs w:val="32"/>
          <w:lang w:val="en-US" w:eastAsia="zh-CN"/>
        </w:rPr>
        <w:t>6</w:t>
      </w:r>
      <w:r>
        <w:rPr>
          <w:rFonts w:hint="eastAsia" w:ascii="方正仿宋_GBK" w:hAnsi="方正仿宋_GBK" w:eastAsia="方正仿宋_GBK" w:cs="方正仿宋_GBK"/>
          <w:bCs/>
          <w:sz w:val="32"/>
          <w:szCs w:val="32"/>
        </w:rPr>
        <w:t>年12月31日）。</w:t>
      </w:r>
      <w:r>
        <w:rPr>
          <w:rFonts w:hint="eastAsia" w:ascii="方正仿宋_GBK" w:hAnsi="方正仿宋_GBK" w:eastAsia="方正仿宋_GBK" w:cs="方正仿宋_GBK"/>
          <w:bCs/>
          <w:sz w:val="32"/>
          <w:szCs w:val="32"/>
          <w:highlight w:val="none"/>
          <w:lang w:val="en-US" w:eastAsia="zh-CN"/>
        </w:rPr>
        <w:t>双方本着平等、互利、可持续性和战略性发展的原则，</w:t>
      </w:r>
      <w:r>
        <w:rPr>
          <w:rFonts w:hint="eastAsia" w:ascii="方正仿宋_GBK" w:hAnsi="方正仿宋_GBK" w:eastAsia="方正仿宋_GBK" w:cs="方正仿宋_GBK"/>
          <w:bCs/>
          <w:sz w:val="32"/>
          <w:szCs w:val="32"/>
          <w:highlight w:val="none"/>
        </w:rPr>
        <w:t>合作期间无重大投诉；双方协商一致，合同可续签一年</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rPr>
        <w:t>以双方另行签订的书面合同为准</w:t>
      </w:r>
      <w:r>
        <w:rPr>
          <w:rFonts w:hint="eastAsia" w:ascii="方正仿宋_GBK" w:hAnsi="方正仿宋_GBK" w:eastAsia="方正仿宋_GBK" w:cs="方正仿宋_GBK"/>
          <w:bCs/>
          <w:sz w:val="32"/>
          <w:szCs w:val="32"/>
          <w:highlight w:val="none"/>
          <w:lang w:eastAsia="zh-CN"/>
        </w:rPr>
        <w:t>）</w:t>
      </w:r>
      <w:r>
        <w:rPr>
          <w:rFonts w:hint="eastAsia" w:ascii="方正仿宋_GBK" w:hAnsi="方正仿宋_GBK" w:eastAsia="方正仿宋_GBK" w:cs="方正仿宋_GBK"/>
          <w:bCs/>
          <w:sz w:val="32"/>
          <w:szCs w:val="32"/>
          <w:highlight w:val="none"/>
          <w:lang w:val="en-US"/>
        </w:rPr>
        <w:t>。</w:t>
      </w:r>
    </w:p>
    <w:p>
      <w:pPr>
        <w:spacing w:line="580" w:lineRule="exact"/>
        <w:ind w:firstLine="640" w:firstLineChars="200"/>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bCs/>
          <w:color w:val="000000"/>
          <w:sz w:val="32"/>
          <w:szCs w:val="32"/>
        </w:rPr>
        <w:t>第十三条、争议解决的方式</w:t>
      </w:r>
    </w:p>
    <w:p>
      <w:pPr>
        <w:pStyle w:val="9"/>
        <w:spacing w:line="580" w:lineRule="exact"/>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甲乙双方若因合同发生争议，应进行协商，若协商不成，可向合同签署地人民法院起诉（陕西省渭南市临渭区人民法院）。</w:t>
      </w:r>
    </w:p>
    <w:p>
      <w:pPr>
        <w:spacing w:line="0" w:lineRule="atLeast"/>
        <w:rPr>
          <w:rFonts w:ascii="Times New Roman" w:hAnsi="Times New Roman" w:eastAsia="方正黑体_GBK"/>
          <w:bCs/>
          <w:sz w:val="32"/>
          <w:szCs w:val="32"/>
        </w:rPr>
      </w:pPr>
    </w:p>
    <w:p>
      <w:pPr>
        <w:spacing w:line="0" w:lineRule="atLeast"/>
        <w:jc w:val="center"/>
        <w:rPr>
          <w:rFonts w:ascii="Times New Roman" w:hAnsi="Times New Roman" w:eastAsia="方正黑体_GBK"/>
          <w:bCs/>
          <w:sz w:val="32"/>
          <w:szCs w:val="32"/>
        </w:rPr>
      </w:pPr>
    </w:p>
    <w:p>
      <w:pPr>
        <w:spacing w:line="0" w:lineRule="atLeast"/>
        <w:jc w:val="center"/>
        <w:rPr>
          <w:rFonts w:ascii="Times New Roman" w:hAnsi="Times New Roman" w:eastAsia="方正黑体_GBK"/>
          <w:bCs/>
          <w:sz w:val="32"/>
          <w:szCs w:val="32"/>
        </w:rPr>
      </w:pPr>
    </w:p>
    <w:p>
      <w:pPr>
        <w:spacing w:line="0" w:lineRule="atLeast"/>
        <w:jc w:val="center"/>
        <w:rPr>
          <w:rFonts w:ascii="Times New Roman" w:hAnsi="Times New Roman" w:eastAsia="方正黑体_GBK"/>
          <w:bCs/>
          <w:sz w:val="32"/>
          <w:szCs w:val="32"/>
        </w:rPr>
      </w:pPr>
    </w:p>
    <w:p>
      <w:pPr>
        <w:spacing w:line="0" w:lineRule="atLeast"/>
        <w:jc w:val="center"/>
        <w:rPr>
          <w:rFonts w:ascii="Times New Roman" w:hAnsi="Times New Roman" w:eastAsia="方正黑体_GBK"/>
          <w:bCs/>
          <w:sz w:val="32"/>
          <w:szCs w:val="32"/>
        </w:rPr>
      </w:pPr>
    </w:p>
    <w:p>
      <w:pPr>
        <w:spacing w:line="0" w:lineRule="atLeast"/>
        <w:jc w:val="center"/>
        <w:rPr>
          <w:rFonts w:ascii="Times New Roman" w:hAnsi="Times New Roman" w:eastAsia="方正黑体_GBK"/>
          <w:bCs/>
          <w:sz w:val="32"/>
          <w:szCs w:val="32"/>
        </w:rPr>
      </w:pPr>
    </w:p>
    <w:p>
      <w:pPr>
        <w:spacing w:line="0" w:lineRule="atLeast"/>
        <w:jc w:val="center"/>
        <w:rPr>
          <w:rFonts w:ascii="Times New Roman" w:hAnsi="Times New Roman" w:eastAsia="方正黑体_GBK"/>
          <w:bCs/>
          <w:sz w:val="32"/>
          <w:szCs w:val="32"/>
        </w:rPr>
      </w:pPr>
    </w:p>
    <w:p/>
    <w:p/>
    <w:p>
      <w:pPr>
        <w:spacing w:line="0" w:lineRule="atLeast"/>
        <w:jc w:val="both"/>
        <w:rPr>
          <w:rFonts w:ascii="Times New Roman" w:hAnsi="Times New Roman" w:eastAsia="方正黑体_GBK"/>
          <w:bCs/>
          <w:sz w:val="32"/>
          <w:szCs w:val="32"/>
        </w:rPr>
      </w:pPr>
    </w:p>
    <w:p>
      <w:pPr>
        <w:spacing w:line="0" w:lineRule="atLeast"/>
        <w:jc w:val="center"/>
        <w:rPr>
          <w:rFonts w:ascii="方正小标宋_GBK" w:hAnsi="方正小标宋_GBK" w:eastAsia="方正小标宋_GBK" w:cs="方正小标宋_GBK"/>
          <w:sz w:val="44"/>
          <w:szCs w:val="44"/>
        </w:rPr>
      </w:pPr>
      <w:r>
        <w:rPr>
          <w:rFonts w:ascii="Times New Roman" w:hAnsi="Times New Roman" w:eastAsia="方正黑体_GBK"/>
          <w:bCs/>
          <w:sz w:val="32"/>
          <w:szCs w:val="32"/>
        </w:rPr>
        <w:t>第</w:t>
      </w:r>
      <w:r>
        <w:rPr>
          <w:rFonts w:hint="eastAsia" w:ascii="Times New Roman" w:hAnsi="Times New Roman" w:eastAsia="方正黑体_GBK"/>
          <w:bCs/>
          <w:sz w:val="32"/>
          <w:szCs w:val="32"/>
        </w:rPr>
        <w:t>五</w:t>
      </w:r>
      <w:r>
        <w:rPr>
          <w:rFonts w:ascii="Times New Roman" w:hAnsi="Times New Roman" w:eastAsia="方正黑体_GBK"/>
          <w:bCs/>
          <w:sz w:val="32"/>
          <w:szCs w:val="32"/>
        </w:rPr>
        <w:t>部分</w:t>
      </w:r>
      <w:r>
        <w:rPr>
          <w:rFonts w:hint="eastAsia" w:ascii="Times New Roman" w:hAnsi="Times New Roman" w:eastAsia="方正黑体_GBK"/>
          <w:bCs/>
          <w:sz w:val="32"/>
          <w:szCs w:val="32"/>
        </w:rPr>
        <w:t xml:space="preserve">  </w:t>
      </w:r>
      <w:r>
        <w:rPr>
          <w:rFonts w:ascii="Times New Roman" w:hAnsi="Times New Roman" w:eastAsia="方正黑体_GBK"/>
          <w:bCs/>
          <w:sz w:val="32"/>
          <w:szCs w:val="32"/>
        </w:rPr>
        <w:t>比选响应文件格式及要求</w:t>
      </w:r>
    </w:p>
    <w:p>
      <w:pPr>
        <w:widowControl/>
        <w:jc w:val="center"/>
        <w:rPr>
          <w:rFonts w:ascii="方正黑体_GBK" w:hAnsi="方正黑体_GBK" w:eastAsia="方正黑体_GBK" w:cs="方正黑体_GBK"/>
          <w:bCs/>
          <w:kern w:val="0"/>
          <w:sz w:val="48"/>
          <w:szCs w:val="48"/>
        </w:rPr>
      </w:pPr>
      <w:r>
        <w:rPr>
          <w:rFonts w:hint="eastAsia" w:ascii="方正小标宋_GBK" w:hAnsi="方正小标宋_GBK" w:eastAsia="方正小标宋_GBK" w:cs="方正小标宋_GBK"/>
          <w:sz w:val="44"/>
          <w:szCs w:val="44"/>
        </w:rPr>
        <w:t>中垦华山牧乳业有限公司陕西省及周边产品物流配送服务</w:t>
      </w:r>
      <w:r>
        <w:rPr>
          <w:rFonts w:hint="eastAsia" w:ascii="方正黑体_GBK" w:hAnsi="方正黑体_GBK" w:eastAsia="方正黑体_GBK" w:cs="方正黑体_GBK"/>
          <w:bCs/>
          <w:kern w:val="0"/>
          <w:sz w:val="48"/>
          <w:szCs w:val="48"/>
        </w:rPr>
        <w:t>项目</w:t>
      </w:r>
    </w:p>
    <w:p>
      <w:pPr>
        <w:pStyle w:val="5"/>
        <w:jc w:val="center"/>
        <w:rPr>
          <w:rFonts w:ascii="方正小标宋_GBK" w:hAnsi="方正小标宋_GBK" w:eastAsia="方正小标宋_GBK" w:cs="方正小标宋_GBK"/>
          <w:b/>
          <w:bCs/>
          <w:sz w:val="72"/>
          <w:szCs w:val="72"/>
          <w:lang w:val="en-US"/>
        </w:rPr>
      </w:pPr>
      <w:r>
        <w:rPr>
          <w:rFonts w:hint="eastAsia" w:ascii="方正小标宋_GBK" w:hAnsi="方正小标宋_GBK" w:eastAsia="方正小标宋_GBK" w:cs="方正小标宋_GBK"/>
          <w:b/>
          <w:bCs/>
          <w:sz w:val="72"/>
          <w:szCs w:val="72"/>
          <w:lang w:val="en-US"/>
        </w:rPr>
        <w:t>比</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选</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响</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应</w:t>
      </w:r>
    </w:p>
    <w:p>
      <w:pPr>
        <w:spacing w:line="360" w:lineRule="auto"/>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文</w:t>
      </w:r>
    </w:p>
    <w:p>
      <w:pPr>
        <w:spacing w:line="360" w:lineRule="auto"/>
        <w:jc w:val="center"/>
        <w:rPr>
          <w:rFonts w:ascii="宋体" w:hAnsi="宋体" w:eastAsia="宋体" w:cs="宋体"/>
          <w:b/>
          <w:sz w:val="48"/>
          <w:szCs w:val="48"/>
        </w:rPr>
      </w:pPr>
      <w:r>
        <w:rPr>
          <w:rFonts w:hint="eastAsia" w:ascii="方正小标宋_GBK" w:hAnsi="方正小标宋_GBK" w:eastAsia="方正小标宋_GBK" w:cs="方正小标宋_GBK"/>
          <w:b/>
          <w:bCs/>
          <w:sz w:val="72"/>
          <w:szCs w:val="72"/>
        </w:rPr>
        <w:t>件</w:t>
      </w:r>
    </w:p>
    <w:p>
      <w:pPr>
        <w:spacing w:line="360" w:lineRule="auto"/>
        <w:ind w:left="2873" w:leftChars="1368"/>
        <w:rPr>
          <w:rFonts w:ascii="宋体" w:hAnsi="宋体" w:eastAsia="宋体" w:cs="宋体"/>
          <w:bCs/>
          <w:sz w:val="32"/>
          <w:szCs w:val="32"/>
        </w:rPr>
      </w:pPr>
    </w:p>
    <w:p>
      <w:pPr>
        <w:spacing w:line="360" w:lineRule="auto"/>
        <w:ind w:left="2873" w:leftChars="1368"/>
        <w:rPr>
          <w:rFonts w:ascii="宋体" w:hAnsi="宋体" w:eastAsia="宋体" w:cs="宋体"/>
          <w:bCs/>
          <w:sz w:val="32"/>
          <w:szCs w:val="32"/>
        </w:rPr>
      </w:pPr>
    </w:p>
    <w:p>
      <w:pPr>
        <w:spacing w:line="360" w:lineRule="auto"/>
        <w:ind w:left="2873" w:leftChars="1368"/>
        <w:rPr>
          <w:rFonts w:ascii="宋体" w:hAnsi="宋体" w:eastAsia="宋体" w:cs="宋体"/>
          <w:bCs/>
          <w:sz w:val="32"/>
          <w:szCs w:val="32"/>
        </w:rPr>
      </w:pPr>
      <w:r>
        <w:rPr>
          <w:rFonts w:hint="eastAsia" w:ascii="宋体" w:hAnsi="宋体" w:eastAsia="宋体" w:cs="宋体"/>
          <w:bCs/>
          <w:sz w:val="32"/>
          <w:szCs w:val="32"/>
        </w:rPr>
        <w:t>投标人：</w:t>
      </w:r>
    </w:p>
    <w:p>
      <w:pPr>
        <w:spacing w:line="360" w:lineRule="auto"/>
        <w:ind w:left="2873" w:leftChars="1368"/>
        <w:rPr>
          <w:rFonts w:ascii="宋体" w:hAnsi="宋体" w:eastAsia="宋体" w:cs="宋体"/>
          <w:b/>
          <w:sz w:val="32"/>
          <w:szCs w:val="32"/>
        </w:rPr>
      </w:pPr>
      <w:r>
        <w:rPr>
          <w:rFonts w:hint="eastAsia" w:ascii="宋体" w:hAnsi="宋体" w:eastAsia="宋体" w:cs="宋体"/>
          <w:bCs/>
          <w:sz w:val="32"/>
          <w:szCs w:val="32"/>
        </w:rPr>
        <w:t>日</w:t>
      </w:r>
      <w:r>
        <w:rPr>
          <w:rFonts w:hint="eastAsia" w:ascii="宋体" w:hAnsi="宋体" w:cs="宋体"/>
          <w:bCs/>
          <w:sz w:val="32"/>
          <w:szCs w:val="32"/>
          <w:lang w:val="en-US" w:eastAsia="zh-CN"/>
        </w:rPr>
        <w:t xml:space="preserve">  </w:t>
      </w:r>
      <w:r>
        <w:rPr>
          <w:rFonts w:hint="eastAsia" w:ascii="宋体" w:hAnsi="宋体" w:eastAsia="宋体" w:cs="宋体"/>
          <w:bCs/>
          <w:sz w:val="32"/>
          <w:szCs w:val="32"/>
        </w:rPr>
        <w:t>期：</w:t>
      </w:r>
    </w:p>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p>
    <w:p>
      <w:pPr>
        <w:spacing w:line="360" w:lineRule="auto"/>
        <w:jc w:val="center"/>
      </w:pPr>
      <w:r>
        <w:rPr>
          <w:rFonts w:hint="eastAsia" w:ascii="宋体" w:hAnsi="宋体" w:eastAsia="宋体" w:cs="宋体"/>
          <w:b/>
          <w:sz w:val="32"/>
          <w:szCs w:val="32"/>
        </w:rPr>
        <w:t>比选响应文件目录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一、投标函及投标单位简介……………………………………………（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二、营业执照、道路运输许可证………………………………………（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三、法定代表人授权委托书及法定代表人身份证明…………………（ ）</w:t>
      </w:r>
    </w:p>
    <w:p>
      <w:pPr>
        <w:spacing w:line="360" w:lineRule="auto"/>
        <w:ind w:firstLine="480" w:firstLineChars="200"/>
        <w:rPr>
          <w:rFonts w:ascii="宋体" w:hAnsi="宋体" w:cs="宋体"/>
          <w:sz w:val="24"/>
          <w:szCs w:val="24"/>
        </w:rPr>
      </w:pPr>
      <w:r>
        <w:rPr>
          <w:rFonts w:hint="eastAsia" w:ascii="宋体" w:hAnsi="宋体" w:eastAsia="宋体" w:cs="宋体"/>
          <w:sz w:val="24"/>
          <w:szCs w:val="24"/>
        </w:rPr>
        <w:t>四、</w:t>
      </w:r>
      <w:r>
        <w:rPr>
          <w:rFonts w:hint="eastAsia" w:ascii="宋体" w:hAnsi="宋体" w:cs="宋体"/>
          <w:sz w:val="24"/>
          <w:szCs w:val="24"/>
        </w:rPr>
        <w:t>配送线路及报价表</w:t>
      </w:r>
      <w:r>
        <w:rPr>
          <w:rFonts w:hint="eastAsia" w:ascii="宋体" w:hAnsi="宋体" w:eastAsia="宋体" w:cs="宋体"/>
          <w:sz w:val="24"/>
          <w:szCs w:val="24"/>
        </w:rPr>
        <w:t>…………</w:t>
      </w:r>
      <w:r>
        <w:rPr>
          <w:rFonts w:hint="eastAsia" w:ascii="宋体" w:hAnsi="宋体" w:cs="宋体"/>
          <w:sz w:val="24"/>
          <w:szCs w:val="24"/>
        </w:rPr>
        <w:t>…………………………</w:t>
      </w:r>
      <w:r>
        <w:rPr>
          <w:rFonts w:hint="eastAsia" w:ascii="宋体" w:hAnsi="宋体" w:eastAsia="宋体" w:cs="宋体"/>
          <w:sz w:val="24"/>
          <w:szCs w:val="24"/>
        </w:rPr>
        <w:t>……………</w:t>
      </w:r>
      <w:r>
        <w:rPr>
          <w:rFonts w:hint="eastAsia" w:ascii="宋体" w:hAnsi="宋体" w:cs="宋体"/>
          <w:sz w:val="24"/>
          <w:szCs w:val="24"/>
        </w:rPr>
        <w:t>（ ）</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w:t>
      </w:r>
      <w:r>
        <w:rPr>
          <w:rFonts w:hint="eastAsia" w:ascii="宋体" w:hAnsi="宋体" w:eastAsia="宋体" w:cs="宋体"/>
          <w:sz w:val="24"/>
          <w:szCs w:val="24"/>
        </w:rPr>
        <w:t>车辆资料</w:t>
      </w:r>
      <w:r>
        <w:rPr>
          <w:rFonts w:hint="eastAsia" w:ascii="宋体" w:hAnsi="宋体" w:cs="宋体"/>
          <w:sz w:val="24"/>
          <w:szCs w:val="24"/>
        </w:rPr>
        <w:t>……………………………………………………………（ ）</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w:t>
      </w:r>
      <w:r>
        <w:rPr>
          <w:rFonts w:hint="eastAsia" w:ascii="宋体" w:hAnsi="宋体" w:cs="宋体"/>
          <w:sz w:val="24"/>
          <w:szCs w:val="24"/>
          <w:lang w:val="en-US" w:eastAsia="zh-CN"/>
        </w:rPr>
        <w:t>从业经验</w:t>
      </w:r>
      <w:r>
        <w:rPr>
          <w:rFonts w:hint="eastAsia" w:ascii="宋体" w:hAnsi="宋体" w:cs="宋体"/>
          <w:sz w:val="24"/>
          <w:szCs w:val="24"/>
        </w:rPr>
        <w:t>…………………………………………………………</w:t>
      </w:r>
      <w:r>
        <w:rPr>
          <w:rFonts w:hint="eastAsia" w:ascii="宋体" w:hAnsi="宋体" w:eastAsia="宋体" w:cs="宋体"/>
          <w:sz w:val="24"/>
          <w:szCs w:val="24"/>
        </w:rPr>
        <w:t>…</w:t>
      </w:r>
      <w:r>
        <w:rPr>
          <w:rFonts w:hint="eastAsia" w:ascii="宋体" w:hAnsi="宋体" w:cs="宋体"/>
          <w:sz w:val="24"/>
          <w:szCs w:val="24"/>
        </w:rPr>
        <w:t>（ ）</w:t>
      </w:r>
    </w:p>
    <w:p>
      <w:pPr>
        <w:spacing w:line="360" w:lineRule="auto"/>
        <w:ind w:firstLine="480" w:firstLineChars="200"/>
        <w:rPr>
          <w:rFonts w:ascii="宋体" w:hAnsi="宋体" w:eastAsia="宋体" w:cs="宋体"/>
          <w:sz w:val="24"/>
          <w:szCs w:val="24"/>
        </w:rPr>
      </w:pPr>
      <w:r>
        <w:rPr>
          <w:rFonts w:hint="eastAsia" w:ascii="宋体" w:hAnsi="宋体" w:cs="宋体"/>
          <w:sz w:val="24"/>
          <w:szCs w:val="24"/>
          <w:lang w:val="en-US" w:eastAsia="zh-CN"/>
        </w:rPr>
        <w:t>七</w:t>
      </w:r>
      <w:r>
        <w:rPr>
          <w:rFonts w:hint="eastAsia" w:ascii="宋体" w:hAnsi="宋体" w:eastAsia="宋体" w:cs="宋体"/>
          <w:sz w:val="24"/>
          <w:szCs w:val="24"/>
        </w:rPr>
        <w:t>、履约能力资料</w:t>
      </w:r>
      <w:r>
        <w:rPr>
          <w:rFonts w:hint="eastAsia" w:ascii="宋体" w:hAnsi="宋体" w:cs="宋体"/>
          <w:sz w:val="24"/>
          <w:szCs w:val="24"/>
        </w:rPr>
        <w:t>……………………………………………………</w:t>
      </w:r>
      <w:r>
        <w:rPr>
          <w:rFonts w:hint="eastAsia" w:ascii="宋体" w:hAnsi="宋体" w:eastAsia="宋体" w:cs="宋体"/>
          <w:sz w:val="24"/>
          <w:szCs w:val="24"/>
        </w:rPr>
        <w:t>…</w:t>
      </w:r>
      <w:r>
        <w:rPr>
          <w:rFonts w:hint="eastAsia" w:ascii="宋体" w:hAnsi="宋体" w:cs="宋体"/>
          <w:sz w:val="24"/>
          <w:szCs w:val="24"/>
        </w:rPr>
        <w:t>（ ）</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八</w:t>
      </w:r>
      <w:r>
        <w:rPr>
          <w:rFonts w:hint="eastAsia" w:ascii="宋体" w:hAnsi="宋体" w:eastAsia="宋体" w:cs="宋体"/>
          <w:sz w:val="24"/>
          <w:szCs w:val="24"/>
        </w:rPr>
        <w:t>、应急处置方案资料</w:t>
      </w:r>
      <w:r>
        <w:rPr>
          <w:rFonts w:hint="eastAsia" w:ascii="宋体" w:hAnsi="宋体" w:cs="宋体"/>
          <w:sz w:val="24"/>
          <w:szCs w:val="24"/>
        </w:rPr>
        <w:t>…………………………………………………（ ）</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九</w:t>
      </w:r>
      <w:r>
        <w:rPr>
          <w:rFonts w:hint="eastAsia" w:ascii="宋体" w:hAnsi="宋体" w:cs="宋体"/>
          <w:sz w:val="24"/>
          <w:szCs w:val="24"/>
        </w:rPr>
        <w:t>、</w:t>
      </w:r>
      <w:r>
        <w:rPr>
          <w:rFonts w:hint="eastAsia" w:ascii="宋体" w:hAnsi="宋体" w:eastAsia="宋体" w:cs="宋体"/>
          <w:sz w:val="24"/>
          <w:szCs w:val="24"/>
        </w:rPr>
        <w:t>其他证明材料</w:t>
      </w:r>
      <w:r>
        <w:rPr>
          <w:rFonts w:hint="eastAsia" w:ascii="宋体" w:hAnsi="宋体" w:cs="宋体"/>
          <w:sz w:val="24"/>
          <w:szCs w:val="24"/>
        </w:rPr>
        <w:t>……………………………………………………</w:t>
      </w:r>
      <w:r>
        <w:rPr>
          <w:rFonts w:hint="eastAsia" w:ascii="宋体" w:hAnsi="宋体" w:eastAsia="宋体" w:cs="宋体"/>
          <w:sz w:val="24"/>
          <w:szCs w:val="24"/>
        </w:rPr>
        <w:t>…</w:t>
      </w:r>
      <w:r>
        <w:rPr>
          <w:rFonts w:hint="eastAsia" w:ascii="宋体" w:hAnsi="宋体" w:cs="宋体"/>
          <w:sz w:val="24"/>
          <w:szCs w:val="24"/>
        </w:rPr>
        <w:t>（ ）</w:t>
      </w:r>
    </w:p>
    <w:p>
      <w:pPr>
        <w:pStyle w:val="9"/>
        <w:spacing w:line="580" w:lineRule="exact"/>
        <w:rPr>
          <w:rFonts w:ascii="宋体" w:hAnsi="宋体" w:eastAsia="宋体" w:cs="宋体"/>
        </w:rPr>
      </w:pPr>
    </w:p>
    <w:p>
      <w:pPr>
        <w:pStyle w:val="9"/>
        <w:spacing w:line="580" w:lineRule="exact"/>
        <w:ind w:firstLine="560" w:firstLineChars="200"/>
        <w:rPr>
          <w:rFonts w:ascii="方正仿宋_GBK" w:hAnsi="方正仿宋_GBK" w:eastAsia="方正仿宋_GBK" w:cs="方正仿宋_GBK"/>
          <w:sz w:val="28"/>
          <w:szCs w:val="28"/>
        </w:rPr>
      </w:pPr>
    </w:p>
    <w:p>
      <w:pPr>
        <w:pStyle w:val="9"/>
        <w:spacing w:line="580" w:lineRule="exact"/>
        <w:ind w:firstLine="560" w:firstLineChars="200"/>
        <w:rPr>
          <w:rFonts w:ascii="方正仿宋_GBK" w:hAnsi="方正仿宋_GBK" w:eastAsia="方正仿宋_GBK" w:cs="方正仿宋_GBK"/>
          <w:sz w:val="28"/>
          <w:szCs w:val="28"/>
        </w:rPr>
      </w:pPr>
    </w:p>
    <w:p>
      <w:pPr>
        <w:pStyle w:val="9"/>
        <w:spacing w:line="580" w:lineRule="exact"/>
        <w:ind w:firstLine="560" w:firstLineChars="200"/>
        <w:rPr>
          <w:rFonts w:ascii="方正仿宋_GBK" w:hAnsi="方正仿宋_GBK" w:eastAsia="方正仿宋_GBK" w:cs="方正仿宋_GBK"/>
          <w:sz w:val="28"/>
          <w:szCs w:val="28"/>
        </w:rPr>
      </w:pPr>
    </w:p>
    <w:p>
      <w:pPr>
        <w:pStyle w:val="9"/>
        <w:spacing w:line="580" w:lineRule="exact"/>
        <w:ind w:firstLine="560" w:firstLineChars="200"/>
        <w:rPr>
          <w:rFonts w:ascii="方正仿宋_GBK" w:hAnsi="方正仿宋_GBK" w:eastAsia="方正仿宋_GBK" w:cs="方正仿宋_GBK"/>
          <w:sz w:val="28"/>
          <w:szCs w:val="28"/>
        </w:rPr>
      </w:pPr>
    </w:p>
    <w:p>
      <w:pPr>
        <w:widowControl/>
        <w:shd w:val="clear" w:color="auto" w:fill="FFFFFF"/>
        <w:spacing w:line="500" w:lineRule="atLeast"/>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pPr>
      <w:r>
        <w:rPr>
          <w:rFonts w:hint="eastAsia" w:ascii="宋体" w:hAnsi="宋体" w:eastAsia="宋体" w:cs="宋体"/>
          <w:b/>
          <w:kern w:val="0"/>
          <w:sz w:val="32"/>
          <w:szCs w:val="32"/>
          <w:shd w:val="clear" w:color="auto" w:fill="FFFFFF"/>
        </w:rPr>
        <w:t>一、投标函及投标单位简介</w:t>
      </w:r>
    </w:p>
    <w:p>
      <w:pPr>
        <w:adjustRightInd w:val="0"/>
        <w:snapToGrid w:val="0"/>
        <w:spacing w:line="500" w:lineRule="atLeast"/>
        <w:rPr>
          <w:rFonts w:ascii="宋体" w:hAnsi="宋体" w:eastAsia="宋体" w:cs="宋体"/>
          <w:sz w:val="24"/>
          <w:szCs w:val="24"/>
        </w:rPr>
      </w:pPr>
      <w:r>
        <w:rPr>
          <w:rFonts w:hint="eastAsia" w:ascii="宋体" w:hAnsi="宋体" w:eastAsia="宋体" w:cs="宋体"/>
          <w:b/>
          <w:bCs/>
          <w:sz w:val="24"/>
          <w:szCs w:val="24"/>
          <w:u w:val="single"/>
        </w:rPr>
        <w:t>中垦华山牧乳业有限公司</w:t>
      </w:r>
      <w:r>
        <w:rPr>
          <w:rFonts w:hint="eastAsia" w:ascii="宋体" w:hAnsi="宋体" w:eastAsia="宋体" w:cs="宋体"/>
          <w:b/>
          <w:bCs/>
          <w:sz w:val="24"/>
          <w:szCs w:val="24"/>
        </w:rPr>
        <w:t>：</w:t>
      </w:r>
    </w:p>
    <w:p>
      <w:pPr>
        <w:widowControl/>
        <w:shd w:val="clear" w:color="auto" w:fill="FFFFFF"/>
        <w:spacing w:line="500" w:lineRule="atLeast"/>
        <w:ind w:firstLine="480" w:firstLineChars="200"/>
        <w:rPr>
          <w:rFonts w:ascii="宋体" w:hAnsi="宋体" w:eastAsia="宋体" w:cs="宋体"/>
          <w:sz w:val="24"/>
          <w:szCs w:val="24"/>
        </w:rPr>
      </w:pPr>
      <w:r>
        <w:rPr>
          <w:rFonts w:hint="eastAsia" w:ascii="宋体" w:hAnsi="宋体" w:eastAsia="宋体" w:cs="宋体"/>
          <w:kern w:val="0"/>
          <w:sz w:val="24"/>
          <w:szCs w:val="24"/>
          <w:shd w:val="clear" w:color="auto" w:fill="FFFFFF"/>
        </w:rPr>
        <w:t>我方根据</w:t>
      </w:r>
      <w:r>
        <w:rPr>
          <w:rFonts w:hint="eastAsia" w:ascii="宋体" w:hAnsi="宋体" w:eastAsia="宋体" w:cs="宋体"/>
          <w:kern w:val="0"/>
          <w:sz w:val="24"/>
          <w:szCs w:val="24"/>
          <w:u w:val="single"/>
          <w:shd w:val="clear" w:color="auto" w:fill="FFFFFF"/>
        </w:rPr>
        <w:t>   （项目名称） </w:t>
      </w:r>
      <w:r>
        <w:rPr>
          <w:rFonts w:hint="eastAsia" w:ascii="宋体" w:hAnsi="宋体" w:eastAsia="宋体" w:cs="宋体"/>
          <w:kern w:val="0"/>
          <w:sz w:val="24"/>
          <w:szCs w:val="24"/>
          <w:shd w:val="clear" w:color="auto" w:fill="FFFFFF"/>
        </w:rPr>
        <w:t>的招标文件，并已充分理解了该招标比选文件的全部内容，决定参加投标。为此，我方就以下内容分别做出承诺：</w:t>
      </w:r>
    </w:p>
    <w:p>
      <w:pPr>
        <w:widowControl/>
        <w:shd w:val="clear" w:color="auto" w:fill="FFFFFF"/>
        <w:spacing w:line="500" w:lineRule="atLeast"/>
        <w:ind w:firstLine="420"/>
        <w:rPr>
          <w:rFonts w:ascii="宋体" w:hAnsi="宋体" w:eastAsia="宋体" w:cs="宋体"/>
          <w:sz w:val="24"/>
          <w:szCs w:val="24"/>
        </w:rPr>
      </w:pPr>
      <w:r>
        <w:rPr>
          <w:rFonts w:hint="eastAsia" w:ascii="宋体" w:hAnsi="宋体" w:eastAsia="宋体" w:cs="宋体"/>
          <w:kern w:val="0"/>
          <w:sz w:val="24"/>
          <w:szCs w:val="24"/>
          <w:shd w:val="clear" w:color="auto" w:fill="FFFFFF"/>
        </w:rPr>
        <w:t>1.我方已详细审查全部招标比选文件，我们完全理解上述文件的内容并同意放弃对上述文件的内容有不明及误解的追究权利；</w:t>
      </w:r>
    </w:p>
    <w:p>
      <w:pPr>
        <w:widowControl/>
        <w:shd w:val="clear" w:color="auto" w:fill="FFFFFF"/>
        <w:spacing w:line="500" w:lineRule="atLeast"/>
        <w:ind w:firstLine="420"/>
        <w:jc w:val="left"/>
        <w:rPr>
          <w:rFonts w:ascii="宋体" w:hAnsi="宋体" w:eastAsia="宋体" w:cs="宋体"/>
          <w:sz w:val="24"/>
          <w:szCs w:val="24"/>
        </w:rPr>
      </w:pPr>
      <w:r>
        <w:rPr>
          <w:rFonts w:hint="eastAsia" w:ascii="宋体" w:hAnsi="宋体" w:eastAsia="宋体" w:cs="宋体"/>
          <w:kern w:val="0"/>
          <w:sz w:val="24"/>
          <w:szCs w:val="24"/>
          <w:shd w:val="clear" w:color="auto" w:fill="FFFFFF"/>
        </w:rPr>
        <w:t>2.我方严格按照招标比选文件的约束条件执行；</w:t>
      </w:r>
    </w:p>
    <w:p>
      <w:pPr>
        <w:widowControl/>
        <w:shd w:val="clear" w:color="auto" w:fill="FFFFFF"/>
        <w:spacing w:line="500" w:lineRule="atLeast"/>
        <w:ind w:firstLine="42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3.我方按照“投标人须知”的要求，提供的比选响应文件</w:t>
      </w:r>
      <w:r>
        <w:rPr>
          <w:rFonts w:hint="eastAsia" w:ascii="宋体" w:hAnsi="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份</w:t>
      </w:r>
      <w:r>
        <w:rPr>
          <w:rFonts w:hint="eastAsia" w:ascii="宋体" w:hAnsi="宋体" w:cs="宋体"/>
          <w:kern w:val="0"/>
          <w:sz w:val="24"/>
          <w:szCs w:val="24"/>
          <w:shd w:val="clear" w:color="auto" w:fill="FFFFFF"/>
          <w:lang w:eastAsia="zh-CN"/>
        </w:rPr>
        <w:t>（</w:t>
      </w:r>
      <w:r>
        <w:rPr>
          <w:rFonts w:hint="eastAsia" w:ascii="宋体" w:hAnsi="宋体" w:cs="宋体"/>
          <w:kern w:val="0"/>
          <w:sz w:val="24"/>
          <w:szCs w:val="24"/>
          <w:shd w:val="clear" w:color="auto" w:fill="FFFFFF"/>
          <w:lang w:val="en-US" w:eastAsia="zh-CN"/>
        </w:rPr>
        <w:t>正副本</w:t>
      </w:r>
      <w:r>
        <w:rPr>
          <w:rFonts w:hint="eastAsia" w:ascii="宋体" w:hAnsi="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w:t>
      </w:r>
    </w:p>
    <w:p>
      <w:pPr>
        <w:widowControl/>
        <w:shd w:val="clear" w:color="auto" w:fill="FFFFFF"/>
        <w:spacing w:line="500" w:lineRule="atLeast"/>
        <w:ind w:firstLine="420"/>
        <w:rPr>
          <w:rFonts w:ascii="宋体" w:hAnsi="宋体" w:eastAsia="宋体" w:cs="宋体"/>
          <w:sz w:val="24"/>
          <w:szCs w:val="24"/>
        </w:rPr>
      </w:pPr>
      <w:r>
        <w:rPr>
          <w:rFonts w:hint="eastAsia" w:ascii="宋体" w:hAnsi="宋体" w:eastAsia="宋体" w:cs="宋体"/>
          <w:kern w:val="0"/>
          <w:sz w:val="24"/>
          <w:szCs w:val="24"/>
          <w:shd w:val="clear" w:color="auto" w:fill="FFFFFF"/>
        </w:rPr>
        <w:t>4.</w:t>
      </w:r>
      <w:r>
        <w:rPr>
          <w:rFonts w:hint="eastAsia" w:ascii="宋体" w:hAnsi="宋体" w:eastAsia="宋体" w:cs="宋体"/>
          <w:sz w:val="24"/>
          <w:szCs w:val="24"/>
        </w:rPr>
        <w:t>我方的投标有效期为：自开标之日起</w:t>
      </w:r>
      <w:r>
        <w:rPr>
          <w:rFonts w:hint="eastAsia" w:ascii="宋体" w:hAnsi="宋体" w:eastAsia="宋体" w:cs="宋体"/>
          <w:sz w:val="24"/>
          <w:szCs w:val="24"/>
          <w:u w:val="single"/>
        </w:rPr>
        <w:t>90</w:t>
      </w:r>
      <w:r>
        <w:rPr>
          <w:rFonts w:hint="eastAsia" w:ascii="宋体" w:hAnsi="宋体" w:eastAsia="宋体" w:cs="宋体"/>
          <w:sz w:val="24"/>
          <w:szCs w:val="24"/>
        </w:rPr>
        <w:t>日；</w:t>
      </w:r>
    </w:p>
    <w:p>
      <w:pPr>
        <w:widowControl/>
        <w:shd w:val="clear" w:color="auto" w:fill="FFFFFF"/>
        <w:spacing w:line="500" w:lineRule="atLeast"/>
        <w:ind w:firstLine="42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5.我方承诺我们的比选响应文件中有关资格资信的证明文件、技术文件及相关陈述全部是真实、准确的，若有违背，我方将承担由此造成的一切后果；</w:t>
      </w:r>
    </w:p>
    <w:p>
      <w:pPr>
        <w:widowControl/>
        <w:shd w:val="clear" w:color="auto" w:fill="FFFFFF"/>
        <w:spacing w:line="500" w:lineRule="atLeast"/>
        <w:ind w:firstLine="42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6.我方承诺每条线路均提供产品</w:t>
      </w:r>
      <w:r>
        <w:rPr>
          <w:rFonts w:hint="eastAsia" w:ascii="宋体" w:hAnsi="宋体" w:cs="宋体"/>
          <w:kern w:val="0"/>
          <w:sz w:val="24"/>
          <w:szCs w:val="24"/>
          <w:shd w:val="clear" w:color="auto" w:fill="FFFFFF"/>
          <w:lang w:val="en-US" w:eastAsia="zh-CN"/>
        </w:rPr>
        <w:t>及物资</w:t>
      </w:r>
      <w:r>
        <w:rPr>
          <w:rFonts w:hint="eastAsia" w:ascii="宋体" w:hAnsi="宋体" w:eastAsia="宋体" w:cs="宋体"/>
          <w:kern w:val="0"/>
          <w:sz w:val="24"/>
          <w:szCs w:val="24"/>
          <w:shd w:val="clear" w:color="auto" w:fill="FFFFFF"/>
        </w:rPr>
        <w:t>签字交接记录。</w:t>
      </w:r>
    </w:p>
    <w:p>
      <w:pPr>
        <w:widowControl/>
        <w:shd w:val="clear" w:color="auto" w:fill="FFFFFF"/>
        <w:spacing w:line="500" w:lineRule="atLeast"/>
        <w:ind w:firstLine="42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7.投标人</w:t>
      </w:r>
      <w:r>
        <w:rPr>
          <w:rFonts w:hint="eastAsia" w:ascii="宋体" w:hAnsi="宋体" w:cs="宋体"/>
          <w:kern w:val="0"/>
          <w:sz w:val="24"/>
          <w:szCs w:val="24"/>
          <w:shd w:val="clear" w:color="auto" w:fill="FFFFFF"/>
          <w:lang w:val="en-US" w:eastAsia="zh-CN"/>
        </w:rPr>
        <w:t>应</w:t>
      </w:r>
      <w:r>
        <w:rPr>
          <w:rFonts w:hint="eastAsia" w:ascii="宋体" w:hAnsi="宋体" w:eastAsia="宋体" w:cs="宋体"/>
          <w:kern w:val="0"/>
          <w:sz w:val="24"/>
          <w:szCs w:val="24"/>
          <w:shd w:val="clear" w:color="auto" w:fill="FFFFFF"/>
        </w:rPr>
        <w:t>承诺在签订合同后45天内办理渭南市高新北区至相关线路区域货车通行证。</w:t>
      </w:r>
    </w:p>
    <w:p>
      <w:pPr>
        <w:widowControl/>
        <w:shd w:val="clear" w:color="auto" w:fill="FFFFFF"/>
        <w:spacing w:line="500" w:lineRule="atLeast"/>
        <w:ind w:firstLine="42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投标人： （盖章）  </w:t>
      </w:r>
    </w:p>
    <w:p>
      <w:pPr>
        <w:widowControl/>
        <w:shd w:val="clear" w:color="auto" w:fill="FFFFFF"/>
        <w:spacing w:line="500" w:lineRule="atLeast"/>
        <w:ind w:firstLine="420"/>
        <w:rPr>
          <w:rFonts w:ascii="宋体" w:hAnsi="宋体" w:eastAsia="宋体" w:cs="宋体"/>
          <w:sz w:val="24"/>
          <w:szCs w:val="24"/>
        </w:rPr>
      </w:pPr>
      <w:r>
        <w:rPr>
          <w:rFonts w:hint="eastAsia" w:ascii="宋体" w:hAnsi="宋体" w:eastAsia="宋体" w:cs="宋体"/>
          <w:kern w:val="0"/>
          <w:sz w:val="24"/>
          <w:szCs w:val="24"/>
          <w:shd w:val="clear" w:color="auto" w:fill="FFFFFF"/>
        </w:rPr>
        <w:t>  </w:t>
      </w:r>
    </w:p>
    <w:p>
      <w:pPr>
        <w:widowControl/>
        <w:shd w:val="clear" w:color="auto" w:fill="FFFFFF"/>
        <w:spacing w:line="500" w:lineRule="atLeast"/>
        <w:ind w:firstLine="420"/>
        <w:rPr>
          <w:rFonts w:ascii="宋体" w:hAnsi="宋体" w:eastAsia="宋体" w:cs="宋体"/>
          <w:sz w:val="24"/>
          <w:szCs w:val="24"/>
        </w:rPr>
      </w:pPr>
      <w:r>
        <w:rPr>
          <w:rFonts w:hint="eastAsia" w:ascii="宋体" w:hAnsi="宋体" w:eastAsia="宋体" w:cs="宋体"/>
          <w:kern w:val="0"/>
          <w:sz w:val="24"/>
          <w:szCs w:val="24"/>
          <w:shd w:val="clear" w:color="auto" w:fill="FFFFFF"/>
        </w:rPr>
        <w:t>法定代表人或其授权委托人： （签字或盖章）</w:t>
      </w:r>
    </w:p>
    <w:p>
      <w:pPr>
        <w:widowControl/>
        <w:shd w:val="clear" w:color="auto" w:fill="FFFFFF"/>
        <w:spacing w:line="500" w:lineRule="atLeast"/>
        <w:ind w:firstLine="420"/>
        <w:rPr>
          <w:rFonts w:ascii="宋体" w:hAnsi="宋体" w:eastAsia="宋体" w:cs="宋体"/>
          <w:sz w:val="24"/>
          <w:szCs w:val="24"/>
        </w:rPr>
      </w:pPr>
      <w:r>
        <w:rPr>
          <w:rFonts w:hint="eastAsia" w:ascii="宋体" w:hAnsi="宋体" w:eastAsia="宋体" w:cs="宋体"/>
          <w:kern w:val="0"/>
          <w:sz w:val="24"/>
          <w:szCs w:val="24"/>
          <w:shd w:val="clear" w:color="auto" w:fill="FFFFFF"/>
        </w:rPr>
        <w:t>日 期：</w:t>
      </w:r>
    </w:p>
    <w:p>
      <w:pPr>
        <w:widowControl/>
        <w:shd w:val="clear" w:color="auto" w:fill="FFFFFF"/>
        <w:spacing w:line="500" w:lineRule="atLeast"/>
        <w:ind w:firstLine="420"/>
        <w:rPr>
          <w:rFonts w:ascii="宋体" w:hAnsi="宋体" w:eastAsia="宋体" w:cs="宋体"/>
          <w:sz w:val="24"/>
          <w:szCs w:val="24"/>
        </w:rPr>
      </w:pPr>
      <w:r>
        <w:rPr>
          <w:rFonts w:hint="eastAsia" w:ascii="宋体" w:hAnsi="宋体" w:eastAsia="宋体" w:cs="宋体"/>
          <w:kern w:val="0"/>
          <w:sz w:val="24"/>
          <w:szCs w:val="24"/>
          <w:shd w:val="clear" w:color="auto" w:fill="FFFFFF"/>
        </w:rPr>
        <w:t>地 址：</w:t>
      </w:r>
    </w:p>
    <w:p>
      <w:pPr>
        <w:widowControl/>
        <w:shd w:val="clear" w:color="auto" w:fill="FFFFFF"/>
        <w:spacing w:line="500" w:lineRule="atLeast"/>
        <w:ind w:firstLine="42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邮 编：         </w:t>
      </w:r>
    </w:p>
    <w:p>
      <w:pPr>
        <w:widowControl/>
        <w:shd w:val="clear" w:color="auto" w:fill="FFFFFF"/>
        <w:spacing w:line="500" w:lineRule="atLeast"/>
        <w:ind w:firstLine="42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电  话：            </w:t>
      </w:r>
    </w:p>
    <w:p>
      <w:pPr>
        <w:widowControl/>
        <w:shd w:val="clear" w:color="auto" w:fill="FFFFFF"/>
        <w:spacing w:line="500" w:lineRule="atLeast"/>
        <w:ind w:firstLine="420"/>
        <w:rPr>
          <w:rFonts w:ascii="宋体" w:hAnsi="宋体" w:eastAsia="宋体" w:cs="宋体"/>
          <w:sz w:val="24"/>
          <w:szCs w:val="24"/>
        </w:rPr>
      </w:pPr>
      <w:r>
        <w:rPr>
          <w:rFonts w:hint="eastAsia" w:ascii="宋体" w:hAnsi="宋体" w:eastAsia="宋体" w:cs="宋体"/>
          <w:kern w:val="0"/>
          <w:sz w:val="24"/>
          <w:szCs w:val="24"/>
          <w:shd w:val="clear" w:color="auto" w:fill="FFFFFF"/>
        </w:rPr>
        <w:t>传  真：</w:t>
      </w:r>
    </w:p>
    <w:p>
      <w:pPr>
        <w:widowControl/>
        <w:shd w:val="clear" w:color="auto" w:fill="FFFFFF"/>
        <w:spacing w:line="500" w:lineRule="atLeast"/>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ascii="宋体" w:hAnsi="宋体" w:eastAsia="宋体" w:cs="宋体"/>
          <w:b/>
          <w:kern w:val="0"/>
          <w:sz w:val="32"/>
          <w:szCs w:val="32"/>
          <w:shd w:val="clear" w:color="auto" w:fill="FFFFFF"/>
        </w:rPr>
      </w:pPr>
      <w:r>
        <w:rPr>
          <w:rFonts w:hint="eastAsia" w:ascii="宋体" w:hAnsi="宋体" w:eastAsia="宋体" w:cs="宋体"/>
          <w:b/>
          <w:kern w:val="0"/>
          <w:sz w:val="32"/>
          <w:szCs w:val="32"/>
          <w:shd w:val="clear" w:color="auto" w:fill="FFFFFF"/>
        </w:rPr>
        <w:t>二、营业执照、道路运输许可证</w:t>
      </w: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jc w:val="center"/>
        <w:rPr>
          <w:rFonts w:ascii="宋体" w:hAnsi="宋体" w:cs="宋体"/>
          <w:b/>
          <w:bCs/>
          <w:kern w:val="0"/>
          <w:sz w:val="40"/>
          <w:szCs w:val="40"/>
        </w:rPr>
      </w:pPr>
    </w:p>
    <w:p>
      <w:pPr>
        <w:autoSpaceDE w:val="0"/>
        <w:autoSpaceDN w:val="0"/>
        <w:adjustRightInd w:val="0"/>
        <w:spacing w:line="360" w:lineRule="auto"/>
        <w:rPr>
          <w:rFonts w:ascii="宋体" w:hAnsi="宋体" w:cs="宋体"/>
          <w:b/>
          <w:bCs/>
          <w:kern w:val="0"/>
          <w:sz w:val="40"/>
          <w:szCs w:val="40"/>
        </w:rPr>
      </w:pPr>
    </w:p>
    <w:p>
      <w:pPr>
        <w:widowControl/>
        <w:shd w:val="clear" w:color="auto" w:fill="FFFFFF"/>
        <w:spacing w:line="500" w:lineRule="atLeast"/>
        <w:jc w:val="center"/>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ascii="宋体" w:hAnsi="宋体" w:eastAsia="宋体" w:cs="宋体"/>
          <w:b/>
          <w:kern w:val="0"/>
          <w:sz w:val="32"/>
          <w:szCs w:val="32"/>
          <w:shd w:val="clear" w:color="auto" w:fill="FFFFFF"/>
        </w:rPr>
      </w:pPr>
      <w:r>
        <w:rPr>
          <w:rFonts w:hint="eastAsia" w:ascii="宋体" w:hAnsi="宋体" w:eastAsia="宋体" w:cs="宋体"/>
          <w:b/>
          <w:kern w:val="0"/>
          <w:sz w:val="32"/>
          <w:szCs w:val="32"/>
          <w:shd w:val="clear" w:color="auto" w:fill="FFFFFF"/>
        </w:rPr>
        <w:t>三、法定代表人授权委托书及法定代表人身份证明</w:t>
      </w:r>
    </w:p>
    <w:p>
      <w:pPr>
        <w:adjustRightInd w:val="0"/>
        <w:snapToGrid w:val="0"/>
        <w:spacing w:line="500" w:lineRule="atLeast"/>
        <w:rPr>
          <w:rFonts w:ascii="宋体" w:hAnsi="宋体" w:eastAsia="宋体" w:cs="宋体"/>
          <w:sz w:val="24"/>
          <w:szCs w:val="24"/>
        </w:rPr>
      </w:pPr>
      <w:r>
        <w:rPr>
          <w:rFonts w:hint="eastAsia" w:ascii="宋体" w:hAnsi="宋体" w:eastAsia="宋体" w:cs="宋体"/>
          <w:sz w:val="24"/>
          <w:szCs w:val="24"/>
          <w:u w:val="single"/>
        </w:rPr>
        <w:t>中垦华山牧乳业有限公司</w:t>
      </w:r>
      <w:r>
        <w:rPr>
          <w:rFonts w:hint="eastAsia" w:ascii="宋体" w:hAnsi="宋体" w:eastAsia="宋体" w:cs="宋体"/>
          <w:sz w:val="24"/>
          <w:szCs w:val="24"/>
        </w:rPr>
        <w:t>：</w:t>
      </w:r>
    </w:p>
    <w:p>
      <w:pPr>
        <w:tabs>
          <w:tab w:val="left" w:pos="1680"/>
          <w:tab w:val="left" w:pos="4215"/>
          <w:tab w:val="left" w:pos="4305"/>
        </w:tabs>
        <w:autoSpaceDE w:val="0"/>
        <w:autoSpaceDN w:val="0"/>
        <w:adjustRightInd w:val="0"/>
        <w:snapToGrid w:val="0"/>
        <w:spacing w:line="360" w:lineRule="auto"/>
        <w:ind w:firstLine="420"/>
        <w:rPr>
          <w:rFonts w:ascii="宋体" w:hAnsi="宋体" w:eastAsia="宋体" w:cs="宋体"/>
          <w:kern w:val="0"/>
          <w:sz w:val="24"/>
          <w:szCs w:val="24"/>
        </w:rPr>
      </w:pPr>
    </w:p>
    <w:p>
      <w:pPr>
        <w:tabs>
          <w:tab w:val="left" w:pos="1680"/>
          <w:tab w:val="left" w:pos="4215"/>
          <w:tab w:val="left" w:pos="4305"/>
        </w:tabs>
        <w:autoSpaceDE w:val="0"/>
        <w:autoSpaceDN w:val="0"/>
        <w:adjustRightInd w:val="0"/>
        <w:snapToGrid w:val="0"/>
        <w:spacing w:line="360" w:lineRule="auto"/>
        <w:ind w:firstLine="420"/>
        <w:rPr>
          <w:rFonts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rPr>
        <w:t>（姓名）系</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rPr>
        <w:t>（</w:t>
      </w:r>
      <w:r>
        <w:rPr>
          <w:rFonts w:hint="eastAsia" w:ascii="宋体" w:hAnsi="宋体" w:eastAsia="宋体" w:cs="宋体"/>
          <w:spacing w:val="-1"/>
          <w:kern w:val="0"/>
          <w:sz w:val="24"/>
          <w:szCs w:val="24"/>
        </w:rPr>
        <w:t>投</w:t>
      </w:r>
      <w:r>
        <w:rPr>
          <w:rFonts w:hint="eastAsia" w:ascii="宋体" w:hAnsi="宋体" w:eastAsia="宋体" w:cs="宋体"/>
          <w:kern w:val="0"/>
          <w:sz w:val="24"/>
          <w:szCs w:val="24"/>
        </w:rPr>
        <w:t>标人名称</w:t>
      </w:r>
      <w:r>
        <w:rPr>
          <w:rFonts w:hint="eastAsia" w:ascii="宋体" w:hAnsi="宋体" w:eastAsia="宋体" w:cs="宋体"/>
          <w:spacing w:val="1"/>
          <w:kern w:val="0"/>
          <w:sz w:val="24"/>
          <w:szCs w:val="24"/>
        </w:rPr>
        <w:t>）</w:t>
      </w:r>
      <w:r>
        <w:rPr>
          <w:rFonts w:hint="eastAsia" w:ascii="宋体" w:hAnsi="宋体" w:eastAsia="宋体" w:cs="宋体"/>
          <w:kern w:val="0"/>
          <w:sz w:val="24"/>
          <w:szCs w:val="24"/>
        </w:rPr>
        <w:t>的法定代</w:t>
      </w:r>
      <w:r>
        <w:rPr>
          <w:rFonts w:hint="eastAsia" w:ascii="宋体" w:hAnsi="宋体" w:eastAsia="宋体" w:cs="宋体"/>
          <w:spacing w:val="1"/>
          <w:kern w:val="0"/>
          <w:sz w:val="24"/>
          <w:szCs w:val="24"/>
        </w:rPr>
        <w:t>表</w:t>
      </w:r>
      <w:r>
        <w:rPr>
          <w:rFonts w:hint="eastAsia" w:ascii="宋体" w:hAnsi="宋体" w:eastAsia="宋体" w:cs="宋体"/>
          <w:kern w:val="0"/>
          <w:sz w:val="24"/>
          <w:szCs w:val="24"/>
        </w:rPr>
        <w:t>人，现委托</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（姓 名）</w:t>
      </w:r>
      <w:r>
        <w:rPr>
          <w:rFonts w:hint="eastAsia" w:ascii="宋体" w:hAnsi="宋体" w:eastAsia="宋体" w:cs="宋体"/>
          <w:kern w:val="0"/>
          <w:sz w:val="24"/>
          <w:szCs w:val="24"/>
        </w:rPr>
        <w:t>为我方代理人。代理人根据授权，以我方名义签署、澄清、说明、补正、递交、撤回、 修改（项</w:t>
      </w:r>
      <w:r>
        <w:rPr>
          <w:rFonts w:hint="eastAsia" w:ascii="宋体" w:hAnsi="宋体" w:eastAsia="宋体" w:cs="宋体"/>
          <w:spacing w:val="-1"/>
          <w:kern w:val="0"/>
          <w:sz w:val="24"/>
          <w:szCs w:val="24"/>
        </w:rPr>
        <w:t>目</w:t>
      </w:r>
      <w:r>
        <w:rPr>
          <w:rFonts w:hint="eastAsia" w:ascii="宋体" w:hAnsi="宋体" w:eastAsia="宋体" w:cs="宋体"/>
          <w:kern w:val="0"/>
          <w:sz w:val="24"/>
          <w:szCs w:val="24"/>
        </w:rPr>
        <w:t>名称）比选响应文件、签订合同和处理有关事宜，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kern w:val="0"/>
          <w:sz w:val="24"/>
          <w:szCs w:val="24"/>
        </w:rPr>
      </w:pPr>
      <w:r>
        <w:rPr>
          <w:rFonts w:hint="eastAsia" w:ascii="宋体" w:hAnsi="宋体" w:eastAsia="宋体" w:cs="宋体"/>
          <w:kern w:val="0"/>
          <w:sz w:val="24"/>
          <w:szCs w:val="24"/>
        </w:rPr>
        <w:t>委托</w:t>
      </w:r>
      <w:r>
        <w:rPr>
          <w:rFonts w:hint="eastAsia" w:ascii="宋体" w:hAnsi="宋体" w:eastAsia="宋体" w:cs="宋体"/>
          <w:spacing w:val="-1"/>
          <w:kern w:val="0"/>
          <w:sz w:val="24"/>
          <w:szCs w:val="24"/>
        </w:rPr>
        <w:t>期</w:t>
      </w:r>
      <w:r>
        <w:rPr>
          <w:rFonts w:hint="eastAsia" w:ascii="宋体" w:hAnsi="宋体" w:eastAsia="宋体" w:cs="宋体"/>
          <w:kern w:val="0"/>
          <w:sz w:val="24"/>
          <w:szCs w:val="24"/>
        </w:rPr>
        <w:t>限：</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rPr>
        <w:t xml:space="preserve">。 </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kern w:val="0"/>
          <w:sz w:val="24"/>
          <w:szCs w:val="24"/>
        </w:rPr>
      </w:pPr>
      <w:r>
        <w:rPr>
          <w:rFonts w:hint="eastAsia" w:ascii="宋体" w:hAnsi="宋体" w:eastAsia="宋体" w:cs="宋体"/>
          <w:kern w:val="0"/>
          <w:sz w:val="24"/>
          <w:szCs w:val="24"/>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eastAsia="宋体" w:cs="宋体"/>
          <w:kern w:val="0"/>
          <w:sz w:val="24"/>
          <w:szCs w:val="24"/>
        </w:rPr>
      </w:pPr>
      <w:r>
        <w:rPr>
          <w:rFonts w:hint="eastAsia" w:ascii="宋体" w:hAnsi="宋体" w:eastAsia="宋体" w:cs="宋体"/>
          <w:kern w:val="0"/>
          <w:sz w:val="24"/>
          <w:szCs w:val="24"/>
        </w:rPr>
        <w:t>附：法定代表人身份证明。</w:t>
      </w:r>
    </w:p>
    <w:p>
      <w:pPr>
        <w:tabs>
          <w:tab w:val="left" w:pos="4200"/>
          <w:tab w:val="left" w:pos="4620"/>
        </w:tabs>
        <w:autoSpaceDE w:val="0"/>
        <w:autoSpaceDN w:val="0"/>
        <w:adjustRightInd w:val="0"/>
        <w:snapToGrid w:val="0"/>
        <w:spacing w:line="360" w:lineRule="auto"/>
        <w:ind w:firstLine="1694"/>
        <w:jc w:val="left"/>
        <w:rPr>
          <w:rFonts w:ascii="宋体" w:hAnsi="宋体" w:eastAsia="宋体" w:cs="宋体"/>
          <w:kern w:val="0"/>
          <w:sz w:val="24"/>
          <w:szCs w:val="24"/>
        </w:rPr>
      </w:pPr>
      <w:r>
        <w:rPr>
          <w:rFonts w:hint="eastAsia" w:ascii="宋体" w:hAnsi="宋体" w:eastAsia="宋体" w:cs="宋体"/>
          <w:kern w:val="0"/>
          <w:sz w:val="24"/>
          <w:szCs w:val="24"/>
        </w:rPr>
        <w:t>投  标  人：</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pacing w:val="-1"/>
          <w:kern w:val="0"/>
          <w:sz w:val="24"/>
          <w:szCs w:val="24"/>
        </w:rPr>
        <w:t>盖</w:t>
      </w:r>
      <w:r>
        <w:rPr>
          <w:rFonts w:hint="eastAsia" w:ascii="宋体" w:hAnsi="宋体" w:eastAsia="宋体" w:cs="宋体"/>
          <w:kern w:val="0"/>
          <w:sz w:val="24"/>
          <w:szCs w:val="24"/>
        </w:rPr>
        <w:t xml:space="preserve">单位章） </w:t>
      </w:r>
    </w:p>
    <w:p>
      <w:pPr>
        <w:tabs>
          <w:tab w:val="left" w:pos="6300"/>
        </w:tabs>
        <w:autoSpaceDE w:val="0"/>
        <w:autoSpaceDN w:val="0"/>
        <w:adjustRightInd w:val="0"/>
        <w:snapToGrid w:val="0"/>
        <w:spacing w:line="360" w:lineRule="auto"/>
        <w:ind w:firstLine="1680"/>
        <w:jc w:val="left"/>
        <w:rPr>
          <w:rFonts w:ascii="宋体" w:hAnsi="宋体" w:eastAsia="宋体" w:cs="宋体"/>
          <w:kern w:val="0"/>
          <w:sz w:val="24"/>
          <w:szCs w:val="24"/>
        </w:rPr>
      </w:pPr>
      <w:r>
        <w:rPr>
          <w:rFonts w:hint="eastAsia" w:ascii="宋体" w:hAnsi="宋体" w:eastAsia="宋体" w:cs="宋体"/>
          <w:kern w:val="0"/>
          <w:sz w:val="24"/>
          <w:szCs w:val="24"/>
        </w:rPr>
        <w:t>法定代表人：</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u w:val="single"/>
        </w:rPr>
        <w:tab/>
      </w:r>
      <w:r>
        <w:rPr>
          <w:rFonts w:hint="eastAsia" w:ascii="宋体" w:hAnsi="宋体" w:eastAsia="宋体" w:cs="宋体"/>
          <w:kern w:val="0"/>
          <w:sz w:val="24"/>
          <w:szCs w:val="24"/>
        </w:rPr>
        <w:t>（签字或盖章）</w:t>
      </w:r>
    </w:p>
    <w:p>
      <w:pPr>
        <w:tabs>
          <w:tab w:val="left" w:pos="5260"/>
        </w:tabs>
        <w:autoSpaceDE w:val="0"/>
        <w:autoSpaceDN w:val="0"/>
        <w:adjustRightInd w:val="0"/>
        <w:snapToGrid w:val="0"/>
        <w:spacing w:line="360" w:lineRule="auto"/>
        <w:ind w:firstLine="1680"/>
        <w:jc w:val="left"/>
        <w:rPr>
          <w:rFonts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p>
    <w:p>
      <w:pPr>
        <w:tabs>
          <w:tab w:val="left" w:pos="6720"/>
        </w:tabs>
        <w:autoSpaceDE w:val="0"/>
        <w:autoSpaceDN w:val="0"/>
        <w:adjustRightInd w:val="0"/>
        <w:snapToGrid w:val="0"/>
        <w:spacing w:line="360" w:lineRule="auto"/>
        <w:ind w:firstLine="1680"/>
        <w:jc w:val="left"/>
        <w:rPr>
          <w:rFonts w:ascii="宋体" w:hAnsi="宋体" w:eastAsia="宋体" w:cs="宋体"/>
          <w:kern w:val="0"/>
          <w:sz w:val="24"/>
          <w:szCs w:val="24"/>
        </w:rPr>
      </w:pPr>
      <w:r>
        <w:rPr>
          <w:rFonts w:hint="eastAsia" w:ascii="宋体" w:hAnsi="宋体" w:eastAsia="宋体" w:cs="宋体"/>
          <w:kern w:val="0"/>
          <w:sz w:val="24"/>
          <w:szCs w:val="24"/>
        </w:rPr>
        <w:t>委托代理人：</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rPr>
        <w:t>（签</w:t>
      </w:r>
      <w:r>
        <w:rPr>
          <w:rFonts w:hint="eastAsia" w:ascii="宋体" w:hAnsi="宋体" w:eastAsia="宋体" w:cs="宋体"/>
          <w:spacing w:val="-1"/>
          <w:kern w:val="0"/>
          <w:sz w:val="24"/>
          <w:szCs w:val="24"/>
        </w:rPr>
        <w:t>字</w:t>
      </w:r>
      <w:r>
        <w:rPr>
          <w:rFonts w:hint="eastAsia" w:ascii="宋体" w:hAnsi="宋体" w:eastAsia="宋体" w:cs="宋体"/>
          <w:kern w:val="0"/>
          <w:sz w:val="24"/>
          <w:szCs w:val="24"/>
        </w:rPr>
        <w:t>）</w:t>
      </w:r>
    </w:p>
    <w:p>
      <w:pPr>
        <w:tabs>
          <w:tab w:val="left" w:pos="6825"/>
        </w:tabs>
        <w:autoSpaceDE w:val="0"/>
        <w:autoSpaceDN w:val="0"/>
        <w:adjustRightInd w:val="0"/>
        <w:snapToGrid w:val="0"/>
        <w:spacing w:line="360" w:lineRule="auto"/>
        <w:ind w:firstLine="1680"/>
        <w:jc w:val="left"/>
        <w:rPr>
          <w:rFonts w:ascii="宋体" w:hAnsi="宋体" w:eastAsia="宋体" w:cs="宋体"/>
          <w:kern w:val="0"/>
          <w:sz w:val="24"/>
          <w:szCs w:val="24"/>
          <w:u w:val="single"/>
        </w:rPr>
      </w:pPr>
      <w:r>
        <w:rPr>
          <w:rFonts w:hint="eastAsia" w:ascii="宋体" w:hAnsi="宋体" w:eastAsia="宋体" w:cs="宋体"/>
          <w:kern w:val="0"/>
          <w:sz w:val="24"/>
          <w:szCs w:val="24"/>
        </w:rPr>
        <w:t>身份证号码：</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p>
    <w:p>
      <w:pPr>
        <w:tabs>
          <w:tab w:val="left" w:pos="4005"/>
          <w:tab w:val="left" w:pos="4100"/>
          <w:tab w:val="left" w:pos="5040"/>
        </w:tabs>
        <w:autoSpaceDE w:val="0"/>
        <w:autoSpaceDN w:val="0"/>
        <w:adjustRightInd w:val="0"/>
        <w:snapToGrid w:val="0"/>
        <w:spacing w:line="360" w:lineRule="auto"/>
        <w:ind w:firstLine="3780"/>
        <w:jc w:val="left"/>
        <w:rPr>
          <w:rFonts w:ascii="宋体" w:hAnsi="宋体" w:eastAsia="宋体" w:cs="宋体"/>
          <w:w w:val="200"/>
          <w:kern w:val="0"/>
          <w:sz w:val="24"/>
          <w:szCs w:val="24"/>
          <w:u w:val="single"/>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eastAsia="宋体" w:cs="宋体"/>
          <w:kern w:val="0"/>
          <w:sz w:val="24"/>
          <w:szCs w:val="24"/>
        </w:rPr>
      </w:pP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rPr>
        <w:t>年</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rPr>
        <w:t>月</w:t>
      </w:r>
      <w:r>
        <w:rPr>
          <w:rFonts w:hint="eastAsia" w:ascii="宋体" w:hAnsi="宋体" w:eastAsia="宋体" w:cs="宋体"/>
          <w:w w:val="200"/>
          <w:kern w:val="0"/>
          <w:sz w:val="24"/>
          <w:szCs w:val="24"/>
          <w:u w:val="single"/>
        </w:rPr>
        <w:t xml:space="preserve"> </w:t>
      </w:r>
      <w:r>
        <w:rPr>
          <w:rFonts w:hint="eastAsia" w:ascii="宋体" w:hAnsi="宋体" w:eastAsia="宋体" w:cs="宋体"/>
          <w:kern w:val="0"/>
          <w:sz w:val="24"/>
          <w:szCs w:val="24"/>
          <w:u w:val="single"/>
        </w:rPr>
        <w:tab/>
      </w:r>
      <w:r>
        <w:rPr>
          <w:rFonts w:hint="eastAsia" w:ascii="宋体" w:hAnsi="宋体" w:eastAsia="宋体" w:cs="宋体"/>
          <w:kern w:val="0"/>
          <w:sz w:val="24"/>
          <w:szCs w:val="24"/>
        </w:rPr>
        <w:t>日</w:t>
      </w:r>
    </w:p>
    <w:tbl>
      <w:tblPr>
        <w:tblStyle w:val="10"/>
        <w:tblpPr w:leftFromText="180" w:rightFromText="180" w:vertAnchor="text" w:horzAnchor="margin" w:tblpY="81"/>
        <w:tblW w:w="34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0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497" w:hRule="atLeast"/>
        </w:trPr>
        <w:tc>
          <w:tcPr>
            <w:tcW w:w="3400" w:type="dxa"/>
            <w:noWrap w:val="0"/>
            <w:vAlign w:val="top"/>
          </w:tcPr>
          <w:p>
            <w:pPr>
              <w:spacing w:line="360" w:lineRule="auto"/>
              <w:jc w:val="center"/>
              <w:rPr>
                <w:rFonts w:ascii="宋体" w:hAnsi="宋体" w:eastAsia="宋体" w:cs="宋体"/>
                <w:b/>
                <w:szCs w:val="21"/>
              </w:rPr>
            </w:pPr>
          </w:p>
          <w:p>
            <w:pPr>
              <w:spacing w:line="360" w:lineRule="auto"/>
              <w:jc w:val="center"/>
              <w:rPr>
                <w:rFonts w:ascii="宋体" w:hAnsi="宋体" w:eastAsia="宋体" w:cs="宋体"/>
                <w:b/>
                <w:szCs w:val="21"/>
              </w:rPr>
            </w:pPr>
            <w:r>
              <w:rPr>
                <w:rFonts w:hint="eastAsia" w:ascii="宋体" w:hAnsi="宋体" w:eastAsia="宋体" w:cs="宋体"/>
                <w:b/>
                <w:szCs w:val="21"/>
              </w:rPr>
              <w:t>法定代表人身份证正面复印件</w:t>
            </w:r>
          </w:p>
          <w:p>
            <w:pPr>
              <w:spacing w:line="360" w:lineRule="auto"/>
              <w:jc w:val="center"/>
              <w:rPr>
                <w:rFonts w:ascii="宋体" w:hAnsi="宋体" w:eastAsia="宋体" w:cs="宋体"/>
                <w:b/>
                <w:szCs w:val="21"/>
              </w:rPr>
            </w:pPr>
          </w:p>
        </w:tc>
      </w:tr>
    </w:tbl>
    <w:tbl>
      <w:tblPr>
        <w:tblStyle w:val="10"/>
        <w:tblpPr w:leftFromText="180" w:rightFromText="180" w:vertAnchor="text" w:horzAnchor="margin" w:tblpXSpec="right" w:tblpY="111"/>
        <w:tblW w:w="31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1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548" w:hRule="atLeast"/>
        </w:trPr>
        <w:tc>
          <w:tcPr>
            <w:tcW w:w="3120" w:type="dxa"/>
            <w:noWrap w:val="0"/>
            <w:vAlign w:val="top"/>
          </w:tcPr>
          <w:p>
            <w:pPr>
              <w:spacing w:line="360" w:lineRule="auto"/>
              <w:rPr>
                <w:rFonts w:ascii="宋体" w:hAnsi="宋体" w:eastAsia="宋体" w:cs="宋体"/>
                <w:b/>
                <w:szCs w:val="21"/>
              </w:rPr>
            </w:pPr>
          </w:p>
          <w:p>
            <w:pPr>
              <w:spacing w:line="360" w:lineRule="auto"/>
              <w:jc w:val="center"/>
              <w:rPr>
                <w:rFonts w:ascii="宋体" w:hAnsi="宋体" w:eastAsia="宋体" w:cs="宋体"/>
                <w:b/>
                <w:szCs w:val="21"/>
              </w:rPr>
            </w:pPr>
            <w:r>
              <w:rPr>
                <w:rFonts w:hint="eastAsia" w:ascii="宋体" w:hAnsi="宋体" w:eastAsia="宋体" w:cs="宋体"/>
                <w:b/>
                <w:szCs w:val="21"/>
              </w:rPr>
              <w:t>法定代表人身份证反面复印件</w:t>
            </w:r>
          </w:p>
          <w:p>
            <w:pPr>
              <w:spacing w:line="360" w:lineRule="auto"/>
              <w:jc w:val="center"/>
              <w:rPr>
                <w:rFonts w:ascii="宋体" w:hAnsi="宋体" w:eastAsia="宋体" w:cs="宋体"/>
                <w:b/>
                <w:szCs w:val="21"/>
              </w:rPr>
            </w:pPr>
          </w:p>
        </w:tc>
      </w:tr>
    </w:tbl>
    <w:p>
      <w:pPr>
        <w:pStyle w:val="13"/>
      </w:pPr>
    </w:p>
    <w:p/>
    <w:p>
      <w:pPr>
        <w:pStyle w:val="13"/>
      </w:pPr>
    </w:p>
    <w:p>
      <w:pPr>
        <w:jc w:val="center"/>
        <w:rPr>
          <w:rFonts w:ascii="宋体" w:hAnsi="宋体" w:eastAsia="宋体" w:cs="宋体"/>
          <w:vanish/>
          <w:szCs w:val="21"/>
        </w:rPr>
      </w:pPr>
    </w:p>
    <w:tbl>
      <w:tblPr>
        <w:tblStyle w:val="10"/>
        <w:tblpPr w:leftFromText="180" w:rightFromText="180" w:vertAnchor="text" w:horzAnchor="margin" w:tblpY="81"/>
        <w:tblW w:w="34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0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497" w:hRule="atLeast"/>
        </w:trPr>
        <w:tc>
          <w:tcPr>
            <w:tcW w:w="3400" w:type="dxa"/>
            <w:noWrap w:val="0"/>
            <w:vAlign w:val="top"/>
          </w:tcPr>
          <w:p>
            <w:pPr>
              <w:spacing w:line="360" w:lineRule="auto"/>
              <w:jc w:val="center"/>
              <w:rPr>
                <w:rFonts w:ascii="宋体" w:hAnsi="宋体" w:eastAsia="宋体" w:cs="宋体"/>
                <w:b/>
                <w:szCs w:val="21"/>
              </w:rPr>
            </w:pPr>
          </w:p>
          <w:p>
            <w:pPr>
              <w:spacing w:line="360" w:lineRule="auto"/>
              <w:jc w:val="center"/>
              <w:rPr>
                <w:rFonts w:ascii="宋体" w:hAnsi="宋体" w:eastAsia="宋体" w:cs="宋体"/>
                <w:b/>
                <w:szCs w:val="21"/>
              </w:rPr>
            </w:pPr>
            <w:r>
              <w:rPr>
                <w:rFonts w:hint="eastAsia" w:ascii="宋体" w:hAnsi="宋体" w:eastAsia="宋体" w:cs="宋体"/>
                <w:b/>
                <w:szCs w:val="21"/>
              </w:rPr>
              <w:t>授权代理人身份证正面复印件</w:t>
            </w:r>
          </w:p>
          <w:p>
            <w:pPr>
              <w:spacing w:line="360" w:lineRule="auto"/>
              <w:jc w:val="center"/>
              <w:rPr>
                <w:rFonts w:ascii="宋体" w:hAnsi="宋体" w:eastAsia="宋体" w:cs="宋体"/>
                <w:b/>
                <w:szCs w:val="21"/>
              </w:rPr>
            </w:pPr>
          </w:p>
        </w:tc>
      </w:tr>
    </w:tbl>
    <w:p>
      <w:pPr>
        <w:rPr>
          <w:rFonts w:ascii="宋体" w:hAnsi="宋体" w:eastAsia="宋体" w:cs="宋体"/>
          <w:vanish/>
          <w:szCs w:val="21"/>
        </w:rPr>
      </w:pPr>
    </w:p>
    <w:tbl>
      <w:tblPr>
        <w:tblStyle w:val="10"/>
        <w:tblpPr w:leftFromText="180" w:rightFromText="180" w:vertAnchor="text" w:horzAnchor="margin" w:tblpXSpec="right" w:tblpY="111"/>
        <w:tblW w:w="31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120"/>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548" w:hRule="atLeast"/>
        </w:trPr>
        <w:tc>
          <w:tcPr>
            <w:tcW w:w="3120" w:type="dxa"/>
            <w:noWrap w:val="0"/>
            <w:vAlign w:val="top"/>
          </w:tcPr>
          <w:p>
            <w:pPr>
              <w:spacing w:line="360" w:lineRule="auto"/>
              <w:rPr>
                <w:rFonts w:ascii="宋体" w:hAnsi="宋体" w:eastAsia="宋体" w:cs="宋体"/>
                <w:b/>
                <w:szCs w:val="21"/>
              </w:rPr>
            </w:pPr>
          </w:p>
          <w:p>
            <w:pPr>
              <w:spacing w:line="360" w:lineRule="auto"/>
              <w:jc w:val="center"/>
              <w:rPr>
                <w:rFonts w:ascii="宋体" w:hAnsi="宋体" w:eastAsia="宋体" w:cs="宋体"/>
                <w:b/>
                <w:szCs w:val="21"/>
              </w:rPr>
            </w:pPr>
            <w:r>
              <w:rPr>
                <w:rFonts w:hint="eastAsia" w:ascii="宋体" w:hAnsi="宋体" w:eastAsia="宋体" w:cs="宋体"/>
                <w:b/>
                <w:szCs w:val="21"/>
              </w:rPr>
              <w:t>授权代理人身份证反面复印件</w:t>
            </w:r>
          </w:p>
          <w:p>
            <w:pPr>
              <w:spacing w:line="360" w:lineRule="auto"/>
              <w:jc w:val="center"/>
              <w:rPr>
                <w:rFonts w:ascii="宋体" w:hAnsi="宋体" w:eastAsia="宋体" w:cs="宋体"/>
                <w:b/>
                <w:szCs w:val="21"/>
              </w:rPr>
            </w:pPr>
          </w:p>
        </w:tc>
      </w:tr>
    </w:tbl>
    <w:p>
      <w:pPr>
        <w:rPr>
          <w:rFonts w:ascii="宋体" w:hAnsi="宋体" w:eastAsia="宋体" w:cs="宋体"/>
          <w:vanish/>
          <w:szCs w:val="21"/>
        </w:rPr>
      </w:pPr>
    </w:p>
    <w:p>
      <w:pPr>
        <w:tabs>
          <w:tab w:val="left" w:pos="5760"/>
        </w:tabs>
        <w:autoSpaceDE w:val="0"/>
        <w:autoSpaceDN w:val="0"/>
        <w:adjustRightInd w:val="0"/>
        <w:snapToGrid w:val="0"/>
        <w:spacing w:line="480" w:lineRule="atLeast"/>
        <w:ind w:left="735" w:right="11" w:hanging="735" w:hangingChars="350"/>
        <w:rPr>
          <w:rFonts w:ascii="宋体" w:hAnsi="宋体" w:eastAsia="宋体" w:cs="宋体"/>
          <w:kern w:val="0"/>
          <w:szCs w:val="21"/>
        </w:rPr>
      </w:pPr>
    </w:p>
    <w:p>
      <w:pPr>
        <w:tabs>
          <w:tab w:val="left" w:pos="5760"/>
        </w:tabs>
        <w:autoSpaceDE w:val="0"/>
        <w:autoSpaceDN w:val="0"/>
        <w:adjustRightInd w:val="0"/>
        <w:snapToGrid w:val="0"/>
        <w:spacing w:line="480" w:lineRule="atLeast"/>
        <w:ind w:left="735" w:right="11" w:hanging="735" w:hangingChars="350"/>
        <w:rPr>
          <w:rFonts w:ascii="宋体" w:hAnsi="宋体" w:eastAsia="宋体" w:cs="宋体"/>
          <w:kern w:val="0"/>
          <w:szCs w:val="21"/>
        </w:rPr>
      </w:pPr>
    </w:p>
    <w:p>
      <w:pPr>
        <w:tabs>
          <w:tab w:val="left" w:pos="5760"/>
        </w:tabs>
        <w:autoSpaceDE w:val="0"/>
        <w:autoSpaceDN w:val="0"/>
        <w:adjustRightInd w:val="0"/>
        <w:snapToGrid w:val="0"/>
        <w:spacing w:line="480" w:lineRule="atLeast"/>
        <w:ind w:left="735" w:right="11" w:hanging="735" w:hangingChars="350"/>
        <w:rPr>
          <w:rFonts w:ascii="宋体" w:hAnsi="宋体" w:eastAsia="宋体" w:cs="宋体"/>
          <w:kern w:val="0"/>
          <w:szCs w:val="21"/>
        </w:rPr>
      </w:pPr>
    </w:p>
    <w:p>
      <w:pPr>
        <w:tabs>
          <w:tab w:val="left" w:pos="5760"/>
        </w:tabs>
        <w:autoSpaceDE w:val="0"/>
        <w:autoSpaceDN w:val="0"/>
        <w:adjustRightInd w:val="0"/>
        <w:spacing w:line="300" w:lineRule="exact"/>
        <w:ind w:right="11"/>
        <w:rPr>
          <w:rFonts w:ascii="宋体" w:hAnsi="宋体" w:eastAsia="宋体" w:cs="宋体"/>
          <w:kern w:val="0"/>
          <w:szCs w:val="21"/>
        </w:rPr>
      </w:pPr>
    </w:p>
    <w:p>
      <w:pPr>
        <w:tabs>
          <w:tab w:val="left" w:pos="5760"/>
        </w:tabs>
        <w:autoSpaceDE w:val="0"/>
        <w:autoSpaceDN w:val="0"/>
        <w:adjustRightInd w:val="0"/>
        <w:spacing w:line="300" w:lineRule="exact"/>
        <w:ind w:right="11"/>
        <w:rPr>
          <w:rFonts w:hint="eastAsia" w:ascii="宋体" w:hAnsi="宋体" w:eastAsia="宋体" w:cs="宋体"/>
          <w:kern w:val="0"/>
          <w:sz w:val="24"/>
          <w:szCs w:val="24"/>
        </w:rPr>
      </w:pPr>
      <w:r>
        <w:rPr>
          <w:rFonts w:hint="eastAsia" w:ascii="宋体" w:hAnsi="宋体" w:eastAsia="宋体" w:cs="宋体"/>
          <w:kern w:val="0"/>
          <w:sz w:val="24"/>
          <w:szCs w:val="24"/>
        </w:rPr>
        <w:t>注：法定代表人参加投标活动并签署文件的不需要授权委托书，只需提供法定代表人身份证明；非法定代表人参加投标活动及签署文件的除提供法定代表人身份证明外还须提供授权委托书。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00" w:lineRule="exact"/>
        <w:ind w:right="11"/>
        <w:rPr>
          <w:rFonts w:hint="eastAsia" w:ascii="宋体" w:hAnsi="宋体" w:eastAsia="宋体" w:cs="宋体"/>
          <w:kern w:val="0"/>
          <w:sz w:val="24"/>
          <w:szCs w:val="24"/>
        </w:rPr>
      </w:pPr>
    </w:p>
    <w:p>
      <w:pPr>
        <w:tabs>
          <w:tab w:val="left" w:pos="5760"/>
        </w:tabs>
        <w:autoSpaceDE w:val="0"/>
        <w:autoSpaceDN w:val="0"/>
        <w:adjustRightInd w:val="0"/>
        <w:spacing w:line="300" w:lineRule="exact"/>
        <w:ind w:right="11"/>
        <w:rPr>
          <w:rFonts w:hint="eastAsia" w:ascii="宋体" w:hAnsi="宋体" w:eastAsia="宋体" w:cs="宋体"/>
          <w:kern w:val="0"/>
          <w:sz w:val="24"/>
          <w:szCs w:val="24"/>
        </w:rPr>
      </w:pPr>
    </w:p>
    <w:p>
      <w:pPr>
        <w:widowControl/>
        <w:shd w:val="clear" w:color="auto" w:fill="FFFFFF"/>
        <w:spacing w:line="500" w:lineRule="atLeast"/>
        <w:jc w:val="both"/>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pPr>
      <w:r>
        <w:rPr>
          <w:rFonts w:hint="eastAsia" w:ascii="宋体" w:hAnsi="宋体" w:eastAsia="宋体" w:cs="宋体"/>
          <w:b/>
          <w:kern w:val="0"/>
          <w:sz w:val="32"/>
          <w:szCs w:val="32"/>
          <w:shd w:val="clear" w:color="auto" w:fill="FFFFFF"/>
        </w:rPr>
        <w:t>四、</w:t>
      </w:r>
      <w:r>
        <w:rPr>
          <w:rFonts w:hint="eastAsia" w:ascii="宋体" w:hAnsi="宋体" w:cs="宋体"/>
          <w:b/>
          <w:kern w:val="0"/>
          <w:sz w:val="32"/>
          <w:szCs w:val="32"/>
          <w:shd w:val="clear" w:color="auto" w:fill="FFFFFF"/>
          <w:lang w:val="en-US" w:eastAsia="zh-CN"/>
        </w:rPr>
        <w:t>报价表</w:t>
      </w:r>
    </w:p>
    <w:tbl>
      <w:tblPr>
        <w:tblStyle w:val="10"/>
        <w:tblpPr w:leftFromText="180" w:rightFromText="180" w:vertAnchor="text" w:horzAnchor="page" w:tblpX="889" w:tblpY="728"/>
        <w:tblOverlap w:val="never"/>
        <w:tblW w:w="104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2"/>
        <w:gridCol w:w="1387"/>
        <w:gridCol w:w="1332"/>
        <w:gridCol w:w="1560"/>
        <w:gridCol w:w="1705"/>
        <w:gridCol w:w="1667"/>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物流线路运价单（低温）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2"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i w:val="0"/>
                <w:color w:val="000000"/>
                <w:sz w:val="21"/>
                <w:szCs w:val="21"/>
                <w:u w:val="none"/>
                <w:lang w:val="en-US"/>
              </w:rPr>
            </w:pPr>
            <w:r>
              <w:rPr>
                <w:rFonts w:hint="eastAsia" w:asciiTheme="minorEastAsia" w:hAnsiTheme="minorEastAsia" w:eastAsiaTheme="minorEastAsia" w:cstheme="minorEastAsia"/>
                <w:b/>
                <w:i w:val="0"/>
                <w:color w:val="000000"/>
                <w:kern w:val="0"/>
                <w:sz w:val="21"/>
                <w:szCs w:val="21"/>
                <w:u w:val="none"/>
                <w:lang w:val="en-US" w:eastAsia="zh-CN" w:bidi="ar"/>
              </w:rPr>
              <w:t>线  路</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客户地点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公里数(公里)</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4.2米价格（元）</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6.8米价格（元）</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延安线</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延安1线</w:t>
            </w:r>
          </w:p>
        </w:tc>
        <w:tc>
          <w:tcPr>
            <w:tcW w:w="1332" w:type="dxa"/>
            <w:tcBorders>
              <w:top w:val="single" w:color="000000" w:sz="4" w:space="0"/>
              <w:left w:val="nil"/>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下吉</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heme="minorEastAsia" w:hAnsiTheme="minorEastAsia" w:eastAsiaTheme="minorEastAsia" w:cstheme="minorEastAsia"/>
                <w:b/>
                <w:i w:val="0"/>
                <w:color w:val="000000"/>
                <w:sz w:val="21"/>
                <w:szCs w:val="21"/>
                <w:u w:val="none"/>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阎良</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68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heme="minorEastAsia" w:hAnsiTheme="minorEastAsia" w:eastAsiaTheme="minorEastAsia" w:cstheme="minorEastAsia"/>
                <w:b/>
                <w:i w:val="0"/>
                <w:color w:val="000000"/>
                <w:sz w:val="21"/>
                <w:szCs w:val="21"/>
                <w:u w:val="none"/>
                <w:lang w:val="en-US" w:eastAsia="zh-CN"/>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富平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94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蒲城</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155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白水</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190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铜川</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259</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黄陵</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191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延安2线</w:t>
            </w: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洛川</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236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富县</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281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延安</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352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子长</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绥德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558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榆林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670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延安-宜川</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130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延安—定边</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270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运城线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华州</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华阴</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87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潼关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122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永济</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184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运城</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247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三门峡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327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山西</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540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灵宝</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377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平陆</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304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夏县</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354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闻喜</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398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新绛</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467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稷山</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502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万荣</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560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临猗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615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韩城线</w:t>
            </w:r>
          </w:p>
        </w:tc>
        <w:tc>
          <w:tcPr>
            <w:tcW w:w="1332"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故市</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大荔</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65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澄县源泰</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150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澄城</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100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合阳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200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韩城</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280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河津</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318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临汾</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446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宝鸡线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咸阳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98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兴平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131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周至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176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杨凌</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205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宝鸡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314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彬县线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高陵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77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三原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98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泾阳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116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咸阳</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176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永寿</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256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彬县</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341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旬邑</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380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汉中线</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汉中线</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镇安</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216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安康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334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石泉</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437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汉中</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627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汉中直发线</w:t>
            </w:r>
          </w:p>
        </w:tc>
        <w:tc>
          <w:tcPr>
            <w:tcW w:w="1332"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洋县</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305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汉中</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350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石泉</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540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太原线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太原</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584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安康线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洛南</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160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商洛</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180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镇安</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195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柞水</w:t>
            </w:r>
          </w:p>
        </w:tc>
        <w:tc>
          <w:tcPr>
            <w:tcW w:w="1560" w:type="dxa"/>
            <w:tcBorders>
              <w:top w:val="single" w:color="000000" w:sz="4" w:space="0"/>
              <w:left w:val="single" w:color="000000" w:sz="4" w:space="0"/>
              <w:bottom w:val="single" w:color="000000" w:sz="4" w:space="0"/>
              <w:right w:val="single" w:color="000000" w:sz="4" w:space="0"/>
            </w:tcBorders>
            <w:shd w:val="clear" w:color="auto" w:fill="FFFF00"/>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165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安康</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455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石泉</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558</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西安市区线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西安市区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2"/>
                <w:sz w:val="21"/>
                <w:szCs w:val="21"/>
                <w:u w:val="none"/>
                <w:lang w:val="en-US" w:eastAsia="zh-CN" w:bidi="ar-SA"/>
              </w:rPr>
            </w:pPr>
            <w:r>
              <w:rPr>
                <w:rFonts w:hint="eastAsia" w:asciiTheme="minorEastAsia" w:hAnsiTheme="minorEastAsia" w:eastAsiaTheme="minorEastAsia" w:cstheme="minorEastAsia"/>
                <w:b/>
                <w:i w:val="0"/>
                <w:color w:val="000000"/>
                <w:kern w:val="0"/>
                <w:sz w:val="21"/>
                <w:szCs w:val="21"/>
                <w:u w:val="none"/>
                <w:lang w:val="en-US" w:eastAsia="zh-CN" w:bidi="ar"/>
              </w:rPr>
              <w:t>/</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kern w:val="2"/>
                <w:sz w:val="21"/>
                <w:szCs w:val="21"/>
                <w:u w:val="none"/>
                <w:lang w:val="en-US" w:eastAsia="zh-CN" w:bidi="ar-SA"/>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kern w:val="2"/>
                <w:sz w:val="21"/>
                <w:szCs w:val="21"/>
                <w:u w:val="none"/>
                <w:lang w:val="en-US" w:eastAsia="zh-CN" w:bidi="ar-SA"/>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kern w:val="2"/>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渭南市区线</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渭南市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17</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西安盒马直发线</w:t>
            </w:r>
          </w:p>
        </w:tc>
        <w:tc>
          <w:tcPr>
            <w:tcW w:w="8208"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r>
              <w:rPr>
                <w:rStyle w:val="16"/>
                <w:rFonts w:hint="eastAsia" w:asciiTheme="minorEastAsia" w:hAnsiTheme="minorEastAsia" w:eastAsiaTheme="minorEastAsia" w:cstheme="minorEastAsia"/>
                <w:sz w:val="18"/>
                <w:szCs w:val="18"/>
                <w:lang w:val="en-US" w:eastAsia="zh-CN" w:bidi="ar"/>
              </w:rPr>
              <w:t>渭南工厂至西安盒马大仓按提货吨位计价</w:t>
            </w:r>
            <w:r>
              <w:rPr>
                <w:rFonts w:hint="eastAsia" w:asciiTheme="minorEastAsia" w:hAnsiTheme="minorEastAsia" w:eastAsiaTheme="minorEastAsia" w:cstheme="minorEastAsia"/>
                <w:b/>
                <w:i w:val="0"/>
                <w:color w:val="000000"/>
                <w:kern w:val="0"/>
                <w:sz w:val="18"/>
                <w:szCs w:val="18"/>
                <w:u w:val="single"/>
                <w:lang w:val="en-US" w:eastAsia="zh-CN" w:bidi="ar"/>
              </w:rPr>
              <w:t xml:space="preserve">     </w:t>
            </w:r>
            <w:r>
              <w:rPr>
                <w:rStyle w:val="16"/>
                <w:rFonts w:hint="eastAsia" w:asciiTheme="minorEastAsia" w:hAnsiTheme="minorEastAsia" w:eastAsiaTheme="minorEastAsia" w:cstheme="minorEastAsia"/>
                <w:sz w:val="18"/>
                <w:szCs w:val="18"/>
                <w:lang w:val="en-US" w:eastAsia="zh-CN" w:bidi="ar"/>
              </w:rPr>
              <w:t>元/吨；（此价格含装卸费、交货费等一切费用）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商超</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线路</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阎良商超</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阎良区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40</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渭南商超</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渭南市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i w:val="0"/>
                <w:color w:val="000000"/>
                <w:sz w:val="21"/>
                <w:szCs w:val="21"/>
                <w:u w:val="none"/>
                <w:lang w:val="en-US" w:eastAsia="zh-CN"/>
              </w:rPr>
            </w:pPr>
            <w:r>
              <w:rPr>
                <w:rFonts w:hint="eastAsia" w:asciiTheme="minorEastAsia" w:hAnsiTheme="minorEastAsia" w:eastAsiaTheme="minorEastAsia" w:cstheme="minorEastAsia"/>
                <w:b/>
                <w:i w:val="0"/>
                <w:color w:val="000000"/>
                <w:sz w:val="21"/>
                <w:szCs w:val="21"/>
                <w:u w:val="none"/>
                <w:lang w:val="en-US" w:eastAsia="zh-CN"/>
              </w:rPr>
              <w:t>/</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眉县商超</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眉县</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213</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咸阳商超</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咸阳市</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highlight w:val="yellow"/>
                <w:u w:val="none"/>
              </w:rPr>
            </w:pPr>
            <w:r>
              <w:rPr>
                <w:rFonts w:hint="eastAsia" w:asciiTheme="minorEastAsia" w:hAnsiTheme="minorEastAsia" w:eastAsiaTheme="minorEastAsia" w:cstheme="minorEastAsia"/>
                <w:b/>
                <w:i w:val="0"/>
                <w:color w:val="FF0000"/>
                <w:kern w:val="0"/>
                <w:sz w:val="21"/>
                <w:szCs w:val="21"/>
                <w:highlight w:val="yellow"/>
                <w:u w:val="none"/>
                <w:lang w:val="en-US" w:eastAsia="zh-CN" w:bidi="ar"/>
              </w:rPr>
              <w:t>西安商超</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highlight w:val="yellow"/>
                <w:u w:val="none"/>
              </w:rPr>
            </w:pPr>
            <w:r>
              <w:rPr>
                <w:rFonts w:hint="eastAsia" w:asciiTheme="minorEastAsia" w:hAnsiTheme="minorEastAsia" w:eastAsiaTheme="minorEastAsia" w:cstheme="minorEastAsia"/>
                <w:b/>
                <w:i w:val="0"/>
                <w:color w:val="FF0000"/>
                <w:kern w:val="0"/>
                <w:sz w:val="21"/>
                <w:szCs w:val="21"/>
                <w:highlight w:val="yellow"/>
                <w:u w:val="none"/>
                <w:lang w:val="en-US" w:eastAsia="zh-CN" w:bidi="ar"/>
              </w:rPr>
              <w:t>西安市区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highlight w:val="yellow"/>
                <w:u w:val="none"/>
              </w:rPr>
            </w:pPr>
            <w:r>
              <w:rPr>
                <w:rFonts w:hint="eastAsia" w:asciiTheme="minorEastAsia" w:hAnsiTheme="minorEastAsia" w:eastAsiaTheme="minorEastAsia" w:cstheme="minorEastAsia"/>
                <w:b/>
                <w:i w:val="0"/>
                <w:color w:val="FF0000"/>
                <w:kern w:val="0"/>
                <w:sz w:val="21"/>
                <w:szCs w:val="21"/>
                <w:highlight w:val="yellow"/>
                <w:u w:val="none"/>
                <w:lang w:val="en-US" w:eastAsia="zh-CN" w:bidi="ar"/>
              </w:rPr>
              <w:t>/</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FF0000"/>
                <w:sz w:val="21"/>
                <w:szCs w:val="21"/>
                <w:highlight w:val="yellow"/>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FF0000"/>
                <w:sz w:val="21"/>
                <w:szCs w:val="21"/>
                <w:highlight w:val="yellow"/>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FF0000"/>
                <w:sz w:val="21"/>
                <w:szCs w:val="21"/>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注：</w:t>
            </w:r>
            <w:r>
              <w:rPr>
                <w:rStyle w:val="16"/>
                <w:rFonts w:hint="eastAsia" w:asciiTheme="minorEastAsia" w:hAnsiTheme="minorEastAsia" w:eastAsiaTheme="minorEastAsia" w:cstheme="minorEastAsia"/>
                <w:sz w:val="21"/>
                <w:szCs w:val="21"/>
                <w:highlight w:val="none"/>
                <w:lang w:val="en-US" w:eastAsia="zh-CN" w:bidi="ar"/>
              </w:rPr>
              <w:t>线路原途的基础上同城新增一个点加</w:t>
            </w:r>
            <w:r>
              <w:rPr>
                <w:rFonts w:hint="eastAsia" w:asciiTheme="minorEastAsia" w:hAnsiTheme="minorEastAsia" w:eastAsiaTheme="minorEastAsia" w:cstheme="minorEastAsia"/>
                <w:b/>
                <w:i w:val="0"/>
                <w:color w:val="000000"/>
                <w:kern w:val="0"/>
                <w:sz w:val="21"/>
                <w:szCs w:val="21"/>
                <w:highlight w:val="none"/>
                <w:u w:val="single"/>
                <w:lang w:val="en-US" w:eastAsia="zh-CN" w:bidi="ar"/>
              </w:rPr>
              <w:t xml:space="preserve">     </w:t>
            </w:r>
            <w:r>
              <w:rPr>
                <w:rStyle w:val="16"/>
                <w:rFonts w:hint="eastAsia" w:asciiTheme="minorEastAsia" w:hAnsiTheme="minorEastAsia" w:eastAsiaTheme="minorEastAsia" w:cstheme="minorEastAsia"/>
                <w:sz w:val="21"/>
                <w:szCs w:val="21"/>
                <w:highlight w:val="none"/>
                <w:lang w:val="en-US" w:eastAsia="zh-CN" w:bidi="ar"/>
              </w:rPr>
              <w:t>元</w:t>
            </w:r>
            <w:r>
              <w:rPr>
                <w:rStyle w:val="17"/>
                <w:rFonts w:hint="eastAsia" w:asciiTheme="minorEastAsia" w:hAnsiTheme="minorEastAsia" w:eastAsiaTheme="minorEastAsia" w:cstheme="minorEastAsia"/>
                <w:sz w:val="21"/>
                <w:szCs w:val="21"/>
                <w:highlight w:val="none"/>
                <w:lang w:val="en-US" w:eastAsia="zh-CN" w:bidi="ar"/>
              </w:rPr>
              <w:t>/</w:t>
            </w:r>
            <w:r>
              <w:rPr>
                <w:rStyle w:val="16"/>
                <w:rFonts w:hint="eastAsia" w:asciiTheme="minorEastAsia" w:hAnsiTheme="minorEastAsia" w:eastAsiaTheme="minorEastAsia" w:cstheme="minorEastAsia"/>
                <w:sz w:val="21"/>
                <w:szCs w:val="21"/>
                <w:highlight w:val="none"/>
                <w:lang w:val="en-US" w:eastAsia="zh-CN" w:bidi="ar"/>
              </w:rPr>
              <w:t>车次，</w:t>
            </w:r>
            <w:r>
              <w:rPr>
                <w:rStyle w:val="16"/>
                <w:rFonts w:hint="eastAsia" w:asciiTheme="minorEastAsia" w:hAnsiTheme="minorEastAsia" w:eastAsiaTheme="minorEastAsia" w:cstheme="minorEastAsia"/>
                <w:sz w:val="21"/>
                <w:szCs w:val="21"/>
                <w:lang w:val="en-US" w:eastAsia="zh-CN" w:bidi="ar"/>
              </w:rPr>
              <w:t>中间点非同城线路新增点根据里程按新增线路公里单价价核定价格。西安市区路线每条线基础卸货点为</w:t>
            </w:r>
            <w:r>
              <w:rPr>
                <w:rStyle w:val="17"/>
                <w:rFonts w:hint="eastAsia" w:asciiTheme="minorEastAsia" w:hAnsiTheme="minorEastAsia" w:eastAsiaTheme="minorEastAsia" w:cstheme="minorEastAsia"/>
                <w:sz w:val="21"/>
                <w:szCs w:val="21"/>
                <w:lang w:val="en-US" w:eastAsia="zh-CN" w:bidi="ar"/>
              </w:rPr>
              <w:t>5</w:t>
            </w:r>
            <w:r>
              <w:rPr>
                <w:rStyle w:val="16"/>
                <w:rFonts w:hint="eastAsia" w:asciiTheme="minorEastAsia" w:hAnsiTheme="minorEastAsia" w:eastAsiaTheme="minorEastAsia" w:cstheme="minorEastAsia"/>
                <w:sz w:val="21"/>
                <w:szCs w:val="21"/>
                <w:lang w:val="en-US" w:eastAsia="zh-CN" w:bidi="ar"/>
              </w:rPr>
              <w:t>个，满载率</w:t>
            </w:r>
            <w:r>
              <w:rPr>
                <w:rStyle w:val="21"/>
                <w:rFonts w:hint="eastAsia" w:asciiTheme="minorEastAsia" w:hAnsiTheme="minorEastAsia" w:eastAsiaTheme="minorEastAsia" w:cstheme="minorEastAsia"/>
                <w:sz w:val="21"/>
                <w:szCs w:val="21"/>
                <w:lang w:val="en-US" w:eastAsia="zh-CN" w:bidi="ar"/>
              </w:rPr>
              <w:t>≧</w:t>
            </w:r>
            <w:r>
              <w:rPr>
                <w:rStyle w:val="16"/>
                <w:rFonts w:hint="eastAsia" w:asciiTheme="minorEastAsia" w:hAnsiTheme="minorEastAsia" w:eastAsiaTheme="minorEastAsia" w:cstheme="minorEastAsia"/>
                <w:sz w:val="21"/>
                <w:szCs w:val="21"/>
                <w:lang w:val="en-US" w:eastAsia="zh-CN" w:bidi="ar"/>
              </w:rPr>
              <w:t>85%少点不减费用。所有线路单点直达客户按线路车型公里单价及实际配送距离测算。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备注：以上报价4.2米车型各点位公里单价最高限价为5.5元/公里；6.8米车型平均公里单价最高限价为7.8元/公里；线路原途的基础上同城新增一个点最高限价50元/车次）西安市区线路,西安商超线4.2米车型最高限价620.00元/趟。</w:t>
            </w:r>
            <w:r>
              <w:rPr>
                <w:rFonts w:hint="eastAsia" w:asciiTheme="minorEastAsia" w:hAnsiTheme="minorEastAsia" w:eastAsiaTheme="minorEastAsia" w:cstheme="minorEastAsia"/>
                <w:b/>
                <w:i w:val="0"/>
                <w:color w:val="FF0000"/>
                <w:kern w:val="0"/>
                <w:sz w:val="21"/>
                <w:szCs w:val="21"/>
                <w:u w:val="none"/>
                <w:lang w:val="en-US" w:eastAsia="zh-CN" w:bidi="ar"/>
              </w:rPr>
              <w:object>
                <v:shape id="_x0000_i1025" o:spt="75" type="#_x0000_t75" style="height:645.6pt;width:461.4pt;" o:ole="t" filled="f" o:preferrelative="t" stroked="f" coordsize="21600,21600">
                  <v:path/>
                  <v:fill on="f" focussize="0,0"/>
                  <v:stroke on="f"/>
                  <v:imagedata r:id="rId9" o:title=""/>
                  <o:lock v:ext="edit" aspectratio="t"/>
                  <w10:wrap type="none"/>
                  <w10:anchorlock/>
                </v:shape>
                <o:OLEObject Type="Embed" ProgID="Word.Document.12" ShapeID="_x0000_i1025" DrawAspect="Content" ObjectID="_1468075725" r:id="rId8">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配送线路运价表（常温）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常温</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可载吨位（吨）</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可装方量（m³）</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车箱长（米）</w:t>
            </w:r>
          </w:p>
        </w:tc>
        <w:tc>
          <w:tcPr>
            <w:tcW w:w="1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车箱宽（米）</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0-300公里单价</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（公里/元）</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300公里以上</w:t>
            </w:r>
            <w:r>
              <w:rPr>
                <w:rFonts w:hint="eastAsia" w:asciiTheme="minorEastAsia" w:hAnsiTheme="minorEastAsia" w:eastAsiaTheme="minorEastAsia" w:cstheme="minorEastAsia"/>
                <w:b/>
                <w:i w:val="0"/>
                <w:color w:val="000000"/>
                <w:kern w:val="0"/>
                <w:sz w:val="21"/>
                <w:szCs w:val="21"/>
                <w:u w:val="none"/>
                <w:lang w:val="en-US" w:eastAsia="zh-CN" w:bidi="ar"/>
              </w:rPr>
              <w:br w:type="textWrapping"/>
            </w:r>
            <w:r>
              <w:rPr>
                <w:rFonts w:hint="eastAsia" w:asciiTheme="minorEastAsia" w:hAnsiTheme="minorEastAsia" w:eastAsiaTheme="minorEastAsia" w:cstheme="minorEastAsia"/>
                <w:b/>
                <w:i w:val="0"/>
                <w:color w:val="000000"/>
                <w:kern w:val="0"/>
                <w:sz w:val="21"/>
                <w:szCs w:val="21"/>
                <w:u w:val="none"/>
                <w:lang w:val="en-US" w:eastAsia="zh-CN" w:bidi="ar"/>
              </w:rPr>
              <w:t>（公里/元）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i w:val="0"/>
                <w:color w:val="000000"/>
                <w:sz w:val="21"/>
                <w:szCs w:val="21"/>
                <w:u w:val="none"/>
                <w:lang w:val="en-US"/>
              </w:rPr>
            </w:pPr>
            <w:r>
              <w:rPr>
                <w:rFonts w:hint="eastAsia" w:asciiTheme="minorEastAsia" w:hAnsiTheme="minorEastAsia" w:eastAsiaTheme="minorEastAsia" w:cstheme="minorEastAsia"/>
                <w:b/>
                <w:i w:val="0"/>
                <w:color w:val="000000"/>
                <w:kern w:val="0"/>
                <w:sz w:val="21"/>
                <w:szCs w:val="21"/>
                <w:u w:val="none"/>
                <w:lang w:val="en-US" w:eastAsia="zh-CN" w:bidi="ar"/>
              </w:rPr>
              <w:t>车型</w:t>
            </w: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4.2米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4.1</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2.1</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5.2米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5.2</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2.2</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FF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6.8米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9.5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6.6</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2.2</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7.6米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8.5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35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7.4</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FF0000"/>
                <w:sz w:val="21"/>
                <w:szCs w:val="21"/>
                <w:u w:val="none"/>
              </w:rPr>
            </w:pPr>
            <w:r>
              <w:rPr>
                <w:rFonts w:hint="eastAsia" w:asciiTheme="minorEastAsia" w:hAnsiTheme="minorEastAsia" w:eastAsiaTheme="minorEastAsia" w:cstheme="minorEastAsia"/>
                <w:b/>
                <w:i w:val="0"/>
                <w:color w:val="FF0000"/>
                <w:kern w:val="0"/>
                <w:sz w:val="21"/>
                <w:szCs w:val="21"/>
                <w:u w:val="none"/>
                <w:lang w:val="en-US" w:eastAsia="zh-CN" w:bidi="ar"/>
              </w:rPr>
              <w:t>2.2</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FF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9.6米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15</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55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9.5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2.3</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12.5米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30</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70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i w:val="0"/>
                <w:color w:val="000000"/>
                <w:sz w:val="21"/>
                <w:szCs w:val="21"/>
                <w:u w:val="none"/>
                <w:lang w:val="en-US"/>
              </w:rPr>
            </w:pPr>
            <w:r>
              <w:rPr>
                <w:rFonts w:hint="eastAsia" w:asciiTheme="minorEastAsia" w:hAnsiTheme="minorEastAsia" w:eastAsiaTheme="minorEastAsia" w:cstheme="minorEastAsia"/>
                <w:b/>
                <w:i w:val="0"/>
                <w:color w:val="000000"/>
                <w:kern w:val="0"/>
                <w:sz w:val="21"/>
                <w:szCs w:val="21"/>
                <w:u w:val="none"/>
                <w:lang w:val="en-US" w:eastAsia="zh-CN" w:bidi="ar"/>
              </w:rPr>
              <w:t>12.5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2.4</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15.5米</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32</w:t>
            </w:r>
          </w:p>
        </w:tc>
        <w:tc>
          <w:tcPr>
            <w:tcW w:w="13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95</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i w:val="0"/>
                <w:color w:val="000000"/>
                <w:sz w:val="21"/>
                <w:szCs w:val="21"/>
                <w:u w:val="none"/>
                <w:lang w:val="en-US"/>
              </w:rPr>
            </w:pPr>
            <w:r>
              <w:rPr>
                <w:rFonts w:hint="eastAsia" w:asciiTheme="minorEastAsia" w:hAnsiTheme="minorEastAsia" w:eastAsiaTheme="minorEastAsia" w:cstheme="minorEastAsia"/>
                <w:b/>
                <w:i w:val="0"/>
                <w:color w:val="000000"/>
                <w:kern w:val="0"/>
                <w:sz w:val="21"/>
                <w:szCs w:val="21"/>
                <w:u w:val="none"/>
                <w:lang w:val="en-US" w:eastAsia="zh-CN" w:bidi="ar"/>
              </w:rPr>
              <w:t>15.5</w:t>
            </w:r>
          </w:p>
        </w:tc>
        <w:tc>
          <w:tcPr>
            <w:tcW w:w="17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2.5</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Theme="minorEastAsia" w:hAnsiTheme="minorEastAsia" w:eastAsiaTheme="minorEastAsia" w:cstheme="minorEastAsia"/>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1.以上车型最低起运公里为</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公里，不足</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公里按</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公里算。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2.渭南市主城区</w:t>
            </w:r>
            <w:r>
              <w:rPr>
                <w:rStyle w:val="17"/>
                <w:rFonts w:hint="eastAsia" w:asciiTheme="minorEastAsia" w:hAnsiTheme="minorEastAsia" w:eastAsiaTheme="minorEastAsia" w:cstheme="minorEastAsia"/>
                <w:sz w:val="21"/>
                <w:szCs w:val="21"/>
                <w:lang w:val="en-US" w:eastAsia="zh-CN" w:bidi="ar"/>
              </w:rPr>
              <w:t>4.2</w:t>
            </w:r>
            <w:r>
              <w:rPr>
                <w:rStyle w:val="16"/>
                <w:rFonts w:hint="eastAsia" w:asciiTheme="minorEastAsia" w:hAnsiTheme="minorEastAsia" w:eastAsiaTheme="minorEastAsia" w:cstheme="minorEastAsia"/>
                <w:sz w:val="21"/>
                <w:szCs w:val="21"/>
                <w:lang w:val="en-US" w:eastAsia="zh-CN" w:bidi="ar"/>
              </w:rPr>
              <w:t>米车每车</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7"/>
                <w:rFonts w:hint="eastAsia" w:asciiTheme="minorEastAsia" w:hAnsiTheme="minorEastAsia" w:eastAsiaTheme="minorEastAsia" w:cstheme="minorEastAsia"/>
                <w:sz w:val="21"/>
                <w:szCs w:val="21"/>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元；</w:t>
            </w:r>
            <w:r>
              <w:rPr>
                <w:rStyle w:val="17"/>
                <w:rFonts w:hint="eastAsia" w:asciiTheme="minorEastAsia" w:hAnsiTheme="minorEastAsia" w:eastAsiaTheme="minorEastAsia" w:cstheme="minorEastAsia"/>
                <w:sz w:val="21"/>
                <w:szCs w:val="21"/>
                <w:lang w:val="en-US" w:eastAsia="zh-CN" w:bidi="ar"/>
              </w:rPr>
              <w:t>6.8</w:t>
            </w:r>
            <w:r>
              <w:rPr>
                <w:rStyle w:val="16"/>
                <w:rFonts w:hint="eastAsia" w:asciiTheme="minorEastAsia" w:hAnsiTheme="minorEastAsia" w:eastAsiaTheme="minorEastAsia" w:cstheme="minorEastAsia"/>
                <w:sz w:val="21"/>
                <w:szCs w:val="21"/>
                <w:lang w:val="en-US" w:eastAsia="zh-CN" w:bidi="ar"/>
              </w:rPr>
              <w:t>米车每车</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元；9.6米车每车</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10447"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b/>
                <w:i w:val="0"/>
                <w:color w:val="000000"/>
                <w:sz w:val="21"/>
                <w:szCs w:val="21"/>
                <w:u w:val="none"/>
              </w:rPr>
            </w:pPr>
            <w:r>
              <w:rPr>
                <w:rStyle w:val="16"/>
                <w:rFonts w:hint="eastAsia" w:asciiTheme="minorEastAsia" w:hAnsiTheme="minorEastAsia" w:eastAsiaTheme="minorEastAsia" w:cstheme="minorEastAsia"/>
                <w:sz w:val="21"/>
                <w:szCs w:val="21"/>
                <w:lang w:val="en-US" w:eastAsia="zh-CN" w:bidi="ar"/>
              </w:rPr>
              <w:t>3.常温报价不含装卸费，装车费</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元</w:t>
            </w:r>
            <w:r>
              <w:rPr>
                <w:rStyle w:val="17"/>
                <w:rFonts w:hint="eastAsia" w:asciiTheme="minorEastAsia" w:hAnsiTheme="minorEastAsia" w:eastAsiaTheme="minorEastAsia" w:cstheme="minorEastAsia"/>
                <w:sz w:val="21"/>
                <w:szCs w:val="21"/>
                <w:lang w:val="en-US" w:eastAsia="zh-CN" w:bidi="ar"/>
              </w:rPr>
              <w:t>/</w:t>
            </w:r>
            <w:r>
              <w:rPr>
                <w:rStyle w:val="16"/>
                <w:rFonts w:hint="eastAsia" w:asciiTheme="minorEastAsia" w:hAnsiTheme="minorEastAsia" w:eastAsiaTheme="minorEastAsia" w:cstheme="minorEastAsia"/>
                <w:sz w:val="21"/>
                <w:szCs w:val="21"/>
                <w:lang w:val="en-US" w:eastAsia="zh-CN" w:bidi="ar"/>
              </w:rPr>
              <w:t>吨、卸车费</w:t>
            </w:r>
            <w:r>
              <w:rPr>
                <w:rFonts w:hint="eastAsia" w:asciiTheme="minorEastAsia" w:hAnsiTheme="minorEastAsia" w:eastAsiaTheme="minorEastAsia" w:cstheme="minorEastAsia"/>
                <w:b/>
                <w:i w:val="0"/>
                <w:color w:val="000000"/>
                <w:kern w:val="0"/>
                <w:sz w:val="21"/>
                <w:szCs w:val="21"/>
                <w:u w:val="single"/>
                <w:lang w:val="en-US" w:eastAsia="zh-CN" w:bidi="ar"/>
              </w:rPr>
              <w:t xml:space="preserve">     </w:t>
            </w:r>
            <w:r>
              <w:rPr>
                <w:rStyle w:val="16"/>
                <w:rFonts w:hint="eastAsia" w:asciiTheme="minorEastAsia" w:hAnsiTheme="minorEastAsia" w:eastAsiaTheme="minorEastAsia" w:cstheme="minorEastAsia"/>
                <w:sz w:val="21"/>
                <w:szCs w:val="21"/>
                <w:lang w:val="en-US" w:eastAsia="zh-CN" w:bidi="ar"/>
              </w:rPr>
              <w:t>元</w:t>
            </w:r>
            <w:r>
              <w:rPr>
                <w:rStyle w:val="17"/>
                <w:rFonts w:hint="eastAsia" w:asciiTheme="minorEastAsia" w:hAnsiTheme="minorEastAsia" w:eastAsiaTheme="minorEastAsia" w:cstheme="minorEastAsia"/>
                <w:sz w:val="21"/>
                <w:szCs w:val="21"/>
                <w:lang w:val="en-US" w:eastAsia="zh-CN" w:bidi="ar"/>
              </w:rPr>
              <w:t>/</w:t>
            </w:r>
            <w:r>
              <w:rPr>
                <w:rStyle w:val="16"/>
                <w:rFonts w:hint="eastAsia" w:asciiTheme="minorEastAsia" w:hAnsiTheme="minorEastAsia" w:eastAsiaTheme="minorEastAsia" w:cstheme="minorEastAsia"/>
                <w:sz w:val="21"/>
                <w:szCs w:val="21"/>
                <w:lang w:val="en-US" w:eastAsia="zh-CN" w:bidi="ar"/>
              </w:rPr>
              <w:t>吨。</w:t>
            </w:r>
          </w:p>
        </w:tc>
      </w:tr>
    </w:tbl>
    <w:p>
      <w:pPr>
        <w:widowControl/>
        <w:jc w:val="left"/>
        <w:textAlignment w:val="center"/>
        <w:rPr>
          <w:rFonts w:ascii="宋体" w:hAnsi="宋体" w:cs="宋体"/>
          <w:color w:val="000000"/>
          <w:kern w:val="0"/>
          <w:sz w:val="24"/>
        </w:rPr>
      </w:pPr>
      <w:r>
        <w:rPr>
          <w:rFonts w:hint="eastAsia" w:ascii="宋体" w:hAnsi="宋体" w:cs="宋体"/>
          <w:color w:val="000000"/>
          <w:kern w:val="0"/>
          <w:sz w:val="24"/>
        </w:rPr>
        <w:t>注：投标人需根据《配送线路报价表》所列的每项内容拟出方案并进行报价（所有空格均需填报，如车型还有新增，可另增加行</w:t>
      </w:r>
      <w:r>
        <w:rPr>
          <w:rFonts w:hint="eastAsia" w:ascii="宋体" w:hAnsi="宋体" w:cs="宋体"/>
          <w:color w:val="000000"/>
          <w:kern w:val="0"/>
          <w:sz w:val="24"/>
          <w:lang w:val="en-US" w:eastAsia="zh-CN"/>
        </w:rPr>
        <w:t>不做评分项，可做合同参考价</w:t>
      </w:r>
      <w:r>
        <w:rPr>
          <w:rFonts w:hint="eastAsia" w:ascii="宋体" w:hAnsi="宋体" w:cs="宋体"/>
          <w:color w:val="000000"/>
          <w:kern w:val="0"/>
          <w:sz w:val="24"/>
        </w:rPr>
        <w:t>）</w:t>
      </w:r>
    </w:p>
    <w:p>
      <w:pPr>
        <w:widowControl/>
        <w:shd w:val="clear" w:color="auto" w:fill="FFFFFF"/>
        <w:spacing w:line="500" w:lineRule="atLeast"/>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both"/>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eastAsia="宋体" w:cs="宋体"/>
          <w:b/>
          <w:kern w:val="0"/>
          <w:sz w:val="32"/>
          <w:szCs w:val="32"/>
          <w:shd w:val="clear" w:color="auto" w:fill="FFFFFF"/>
        </w:rPr>
      </w:pPr>
    </w:p>
    <w:p>
      <w:pPr>
        <w:widowControl/>
        <w:shd w:val="clear" w:color="auto" w:fill="FFFFFF"/>
        <w:spacing w:line="500" w:lineRule="atLeast"/>
        <w:jc w:val="both"/>
        <w:rPr>
          <w:rFonts w:hint="eastAsia" w:ascii="宋体" w:hAnsi="宋体" w:eastAsia="宋体" w:cs="宋体"/>
          <w:b/>
          <w:kern w:val="0"/>
          <w:sz w:val="32"/>
          <w:szCs w:val="32"/>
          <w:shd w:val="clear" w:color="auto" w:fill="FFFFFF"/>
        </w:rPr>
      </w:pPr>
    </w:p>
    <w:p>
      <w:pPr>
        <w:widowControl/>
        <w:shd w:val="clear" w:color="auto" w:fill="FFFFFF"/>
        <w:spacing w:line="500" w:lineRule="atLeast"/>
        <w:jc w:val="center"/>
        <w:rPr>
          <w:rFonts w:hint="eastAsia" w:ascii="宋体" w:hAnsi="宋体" w:cs="宋体"/>
          <w:b/>
          <w:kern w:val="0"/>
          <w:sz w:val="32"/>
          <w:szCs w:val="32"/>
          <w:shd w:val="clear" w:color="auto" w:fill="FFFFFF"/>
          <w:lang w:val="en-US" w:eastAsia="zh-CN"/>
        </w:rPr>
      </w:pPr>
    </w:p>
    <w:p>
      <w:pPr>
        <w:widowControl/>
        <w:shd w:val="clear" w:color="auto" w:fill="FFFFFF"/>
        <w:spacing w:line="500" w:lineRule="atLeast"/>
        <w:jc w:val="center"/>
        <w:rPr>
          <w:rFonts w:hint="eastAsia" w:ascii="宋体" w:hAnsi="宋体" w:cs="宋体"/>
          <w:b/>
          <w:kern w:val="0"/>
          <w:sz w:val="32"/>
          <w:szCs w:val="32"/>
          <w:shd w:val="clear" w:color="auto" w:fill="FFFFFF"/>
          <w:lang w:val="en-US" w:eastAsia="zh-CN"/>
        </w:rPr>
      </w:pPr>
    </w:p>
    <w:p>
      <w:pPr>
        <w:widowControl/>
        <w:shd w:val="clear" w:color="auto" w:fill="FFFFFF"/>
        <w:spacing w:line="500" w:lineRule="atLeast"/>
        <w:jc w:val="center"/>
        <w:rPr>
          <w:rFonts w:hint="eastAsia" w:ascii="宋体" w:hAnsi="宋体" w:cs="宋体"/>
          <w:b/>
          <w:kern w:val="0"/>
          <w:sz w:val="32"/>
          <w:szCs w:val="32"/>
          <w:shd w:val="clear" w:color="auto" w:fill="FFFFFF"/>
          <w:lang w:val="en-US" w:eastAsia="zh-CN"/>
        </w:rPr>
      </w:pPr>
    </w:p>
    <w:p>
      <w:pPr>
        <w:widowControl/>
        <w:shd w:val="clear" w:color="auto" w:fill="FFFFFF"/>
        <w:spacing w:line="500" w:lineRule="atLeast"/>
        <w:jc w:val="center"/>
        <w:rPr>
          <w:rFonts w:hint="eastAsia" w:ascii="宋体" w:hAnsi="宋体" w:cs="宋体"/>
          <w:b/>
          <w:kern w:val="0"/>
          <w:sz w:val="32"/>
          <w:szCs w:val="32"/>
          <w:shd w:val="clear" w:color="auto" w:fill="FFFFFF"/>
          <w:lang w:val="en-US" w:eastAsia="zh-CN"/>
        </w:rPr>
      </w:pPr>
    </w:p>
    <w:p>
      <w:pPr>
        <w:widowControl/>
        <w:shd w:val="clear" w:color="auto" w:fill="FFFFFF"/>
        <w:spacing w:line="500" w:lineRule="atLeast"/>
        <w:jc w:val="center"/>
        <w:rPr>
          <w:rFonts w:ascii="宋体" w:hAnsi="宋体" w:eastAsia="宋体" w:cs="宋体"/>
          <w:kern w:val="0"/>
        </w:rPr>
      </w:pPr>
      <w:r>
        <w:rPr>
          <w:rFonts w:hint="eastAsia" w:ascii="宋体" w:hAnsi="宋体" w:cs="宋体"/>
          <w:b/>
          <w:kern w:val="0"/>
          <w:sz w:val="32"/>
          <w:szCs w:val="32"/>
          <w:shd w:val="clear" w:color="auto" w:fill="FFFFFF"/>
          <w:lang w:val="en-US" w:eastAsia="zh-CN"/>
        </w:rPr>
        <w:t>五</w:t>
      </w:r>
      <w:r>
        <w:rPr>
          <w:rFonts w:hint="eastAsia" w:ascii="宋体" w:hAnsi="宋体" w:eastAsia="宋体" w:cs="宋体"/>
          <w:b/>
          <w:kern w:val="0"/>
          <w:sz w:val="32"/>
          <w:szCs w:val="32"/>
          <w:shd w:val="clear" w:color="auto" w:fill="FFFFFF"/>
        </w:rPr>
        <w:t>、车辆资料</w:t>
      </w:r>
    </w:p>
    <w:p>
      <w:pPr>
        <w:widowControl/>
        <w:shd w:val="clear" w:color="auto" w:fill="FFFFFF"/>
        <w:spacing w:line="500" w:lineRule="atLeast"/>
        <w:jc w:val="center"/>
        <w:rPr>
          <w:rFonts w:ascii="宋体" w:hAnsi="宋体" w:eastAsia="宋体" w:cs="宋体"/>
          <w:b/>
          <w:kern w:val="0"/>
          <w:sz w:val="32"/>
          <w:szCs w:val="32"/>
          <w:shd w:val="clear" w:color="auto" w:fill="FFFFFF"/>
        </w:rPr>
      </w:pPr>
      <w:r>
        <w:rPr>
          <w:rFonts w:hint="eastAsia" w:ascii="宋体" w:hAnsi="宋体" w:cs="宋体"/>
          <w:b/>
          <w:kern w:val="0"/>
          <w:sz w:val="32"/>
          <w:szCs w:val="32"/>
          <w:shd w:val="clear" w:color="auto" w:fill="FFFFFF"/>
          <w:lang w:val="en-US" w:eastAsia="zh-CN"/>
        </w:rPr>
        <w:t>六</w:t>
      </w:r>
      <w:r>
        <w:rPr>
          <w:rFonts w:hint="eastAsia" w:ascii="宋体" w:hAnsi="宋体" w:eastAsia="宋体" w:cs="宋体"/>
          <w:b/>
          <w:kern w:val="0"/>
          <w:sz w:val="32"/>
          <w:szCs w:val="32"/>
          <w:shd w:val="clear" w:color="auto" w:fill="FFFFFF"/>
        </w:rPr>
        <w:t>、从业经验</w:t>
      </w:r>
    </w:p>
    <w:p>
      <w:pPr>
        <w:widowControl/>
        <w:shd w:val="clear" w:color="auto" w:fill="FFFFFF"/>
        <w:spacing w:line="500" w:lineRule="atLeast"/>
        <w:jc w:val="center"/>
        <w:rPr>
          <w:rFonts w:ascii="宋体" w:hAnsi="宋体" w:eastAsia="宋体" w:cs="宋体"/>
          <w:b/>
          <w:kern w:val="0"/>
          <w:sz w:val="32"/>
          <w:szCs w:val="32"/>
          <w:shd w:val="clear" w:color="auto" w:fill="FFFFFF"/>
        </w:rPr>
      </w:pPr>
      <w:r>
        <w:rPr>
          <w:rFonts w:hint="eastAsia" w:ascii="宋体" w:hAnsi="宋体" w:cs="宋体"/>
          <w:b/>
          <w:kern w:val="0"/>
          <w:sz w:val="32"/>
          <w:szCs w:val="32"/>
          <w:shd w:val="clear" w:color="auto" w:fill="FFFFFF"/>
          <w:lang w:val="en-US" w:eastAsia="zh-CN"/>
        </w:rPr>
        <w:t>七</w:t>
      </w:r>
      <w:r>
        <w:rPr>
          <w:rFonts w:hint="eastAsia" w:ascii="宋体" w:hAnsi="宋体" w:eastAsia="宋体" w:cs="宋体"/>
          <w:b/>
          <w:kern w:val="0"/>
          <w:sz w:val="32"/>
          <w:szCs w:val="32"/>
          <w:shd w:val="clear" w:color="auto" w:fill="FFFFFF"/>
        </w:rPr>
        <w:t>、履约能力资料</w:t>
      </w:r>
    </w:p>
    <w:p>
      <w:pPr>
        <w:widowControl/>
        <w:numPr>
          <w:ilvl w:val="0"/>
          <w:numId w:val="0"/>
        </w:numPr>
        <w:shd w:val="clear" w:color="auto" w:fill="FFFFFF"/>
        <w:spacing w:line="500" w:lineRule="atLeast"/>
        <w:ind w:firstLine="2891" w:firstLineChars="900"/>
        <w:jc w:val="both"/>
        <w:rPr>
          <w:rFonts w:hint="eastAsia" w:ascii="宋体" w:hAnsi="宋体" w:eastAsia="宋体" w:cs="宋体"/>
          <w:b/>
          <w:kern w:val="0"/>
          <w:sz w:val="32"/>
          <w:szCs w:val="32"/>
          <w:shd w:val="clear" w:color="auto" w:fill="FFFFFF"/>
        </w:rPr>
      </w:pPr>
      <w:r>
        <w:rPr>
          <w:rFonts w:hint="eastAsia" w:ascii="宋体" w:hAnsi="宋体" w:cs="宋体"/>
          <w:b/>
          <w:kern w:val="0"/>
          <w:sz w:val="32"/>
          <w:szCs w:val="32"/>
          <w:shd w:val="clear" w:color="auto" w:fill="FFFFFF"/>
          <w:lang w:val="en-US" w:eastAsia="zh-CN"/>
        </w:rPr>
        <w:t>八、</w:t>
      </w:r>
      <w:r>
        <w:rPr>
          <w:rFonts w:hint="eastAsia" w:ascii="宋体" w:hAnsi="宋体" w:eastAsia="宋体" w:cs="宋体"/>
          <w:b/>
          <w:kern w:val="0"/>
          <w:sz w:val="32"/>
          <w:szCs w:val="32"/>
          <w:shd w:val="clear" w:color="auto" w:fill="FFFFFF"/>
        </w:rPr>
        <w:t>应急处置方案资料</w:t>
      </w:r>
    </w:p>
    <w:p>
      <w:pPr>
        <w:widowControl/>
        <w:numPr>
          <w:ilvl w:val="0"/>
          <w:numId w:val="0"/>
        </w:numPr>
        <w:shd w:val="clear" w:color="auto" w:fill="FFFFFF"/>
        <w:spacing w:line="500" w:lineRule="atLeast"/>
        <w:jc w:val="center"/>
        <w:rPr>
          <w:rFonts w:ascii="宋体" w:hAnsi="宋体" w:eastAsia="宋体" w:cs="宋体"/>
          <w:b/>
          <w:kern w:val="0"/>
          <w:sz w:val="32"/>
          <w:szCs w:val="32"/>
          <w:shd w:val="clear" w:color="auto" w:fill="FFFFFF"/>
        </w:rPr>
      </w:pPr>
      <w:r>
        <w:rPr>
          <w:rFonts w:hint="eastAsia" w:ascii="宋体" w:hAnsi="宋体" w:cs="宋体"/>
          <w:b/>
          <w:kern w:val="0"/>
          <w:sz w:val="32"/>
          <w:szCs w:val="32"/>
          <w:shd w:val="clear" w:color="auto" w:fill="FFFFFF"/>
          <w:lang w:val="en-US" w:eastAsia="zh-CN"/>
        </w:rPr>
        <w:t>九</w:t>
      </w:r>
      <w:r>
        <w:rPr>
          <w:rFonts w:hint="eastAsia" w:ascii="宋体" w:hAnsi="宋体" w:eastAsia="宋体" w:cs="宋体"/>
          <w:b/>
          <w:kern w:val="0"/>
          <w:sz w:val="32"/>
          <w:szCs w:val="32"/>
          <w:shd w:val="clear" w:color="auto" w:fill="FFFFFF"/>
        </w:rPr>
        <w:t>、其他证明材料</w:t>
      </w:r>
    </w:p>
    <w:p>
      <w:pPr>
        <w:pStyle w:val="4"/>
      </w:pPr>
    </w:p>
    <w:p>
      <w:pPr>
        <w:widowControl/>
        <w:shd w:val="clear" w:color="auto" w:fill="FFFFFF"/>
        <w:spacing w:line="500" w:lineRule="atLeast"/>
        <w:jc w:val="center"/>
        <w:rPr>
          <w:rFonts w:ascii="宋体" w:hAnsi="宋体" w:eastAsia="宋体" w:cs="宋体"/>
          <w:b/>
          <w:kern w:val="0"/>
          <w:sz w:val="32"/>
          <w:szCs w:val="32"/>
          <w:shd w:val="clear" w:color="auto" w:fill="FFFFFF"/>
        </w:rPr>
      </w:pPr>
    </w:p>
    <w:p>
      <w:pPr>
        <w:widowControl/>
        <w:shd w:val="clear" w:color="auto" w:fill="FFFFFF"/>
        <w:spacing w:line="500" w:lineRule="atLeast"/>
        <w:jc w:val="center"/>
        <w:rPr>
          <w:rFonts w:ascii="宋体" w:hAnsi="宋体" w:eastAsia="宋体" w:cs="宋体"/>
          <w:b/>
          <w:kern w:val="0"/>
          <w:sz w:val="32"/>
          <w:szCs w:val="32"/>
          <w:shd w:val="clear" w:color="auto" w:fill="FFFFFF"/>
        </w:rPr>
      </w:pPr>
    </w:p>
    <w:p>
      <w:pPr>
        <w:pStyle w:val="6"/>
        <w:rPr>
          <w:rFonts w:ascii="Times New Roman" w:hAnsi="Times New Roman" w:cs="Times New Roman"/>
          <w:sz w:val="28"/>
          <w:szCs w:val="28"/>
        </w:rPr>
      </w:pPr>
    </w:p>
    <w:p>
      <w:pPr>
        <w:pStyle w:val="6"/>
        <w:rPr>
          <w:rFonts w:ascii="Times New Roman" w:hAnsi="Times New Roman" w:cs="Times New Roman"/>
          <w:b/>
          <w:sz w:val="84"/>
          <w:szCs w:val="84"/>
        </w:rPr>
      </w:pPr>
    </w:p>
    <w:p>
      <w:pPr>
        <w:pStyle w:val="6"/>
        <w:jc w:val="center"/>
        <w:rPr>
          <w:rFonts w:ascii="Times New Roman" w:hAnsi="Times New Roman" w:cs="Times New Roman"/>
          <w:b/>
          <w:sz w:val="84"/>
          <w:szCs w:val="84"/>
        </w:rPr>
      </w:pPr>
    </w:p>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75333"/>
    <w:multiLevelType w:val="singleLevel"/>
    <w:tmpl w:val="87D75333"/>
    <w:lvl w:ilvl="0" w:tentative="0">
      <w:start w:val="1"/>
      <w:numFmt w:val="decimal"/>
      <w:suff w:val="nothing"/>
      <w:lvlText w:val="%1．"/>
      <w:lvlJc w:val="left"/>
      <w:pPr>
        <w:ind w:left="0" w:firstLine="397"/>
      </w:pPr>
      <w:rPr>
        <w:rFonts w:hint="default"/>
      </w:rPr>
    </w:lvl>
  </w:abstractNum>
  <w:abstractNum w:abstractNumId="1">
    <w:nsid w:val="9E11458B"/>
    <w:multiLevelType w:val="singleLevel"/>
    <w:tmpl w:val="9E11458B"/>
    <w:lvl w:ilvl="0" w:tentative="0">
      <w:start w:val="1"/>
      <w:numFmt w:val="chineseCounting"/>
      <w:suff w:val="nothing"/>
      <w:lvlText w:val="（%1）"/>
      <w:lvlJc w:val="left"/>
      <w:pPr>
        <w:ind w:left="0" w:firstLine="397"/>
      </w:pPr>
      <w:rPr>
        <w:rFonts w:hint="eastAsia"/>
      </w:rPr>
    </w:lvl>
  </w:abstractNum>
  <w:abstractNum w:abstractNumId="2">
    <w:nsid w:val="9EC48339"/>
    <w:multiLevelType w:val="singleLevel"/>
    <w:tmpl w:val="9EC48339"/>
    <w:lvl w:ilvl="0" w:tentative="0">
      <w:start w:val="1"/>
      <w:numFmt w:val="chineseCounting"/>
      <w:suff w:val="nothing"/>
      <w:lvlText w:val="（%1）"/>
      <w:lvlJc w:val="left"/>
      <w:pPr>
        <w:ind w:left="0" w:firstLine="397"/>
      </w:pPr>
      <w:rPr>
        <w:rFonts w:hint="eastAsia"/>
      </w:rPr>
    </w:lvl>
  </w:abstractNum>
  <w:abstractNum w:abstractNumId="3">
    <w:nsid w:val="A5E8DE62"/>
    <w:multiLevelType w:val="singleLevel"/>
    <w:tmpl w:val="A5E8DE62"/>
    <w:lvl w:ilvl="0" w:tentative="0">
      <w:start w:val="1"/>
      <w:numFmt w:val="decimal"/>
      <w:lvlText w:val="%1."/>
      <w:lvlJc w:val="left"/>
      <w:pPr>
        <w:tabs>
          <w:tab w:val="left" w:pos="312"/>
        </w:tabs>
      </w:pPr>
    </w:lvl>
  </w:abstractNum>
  <w:abstractNum w:abstractNumId="4">
    <w:nsid w:val="AAB19474"/>
    <w:multiLevelType w:val="singleLevel"/>
    <w:tmpl w:val="AAB19474"/>
    <w:lvl w:ilvl="0" w:tentative="0">
      <w:start w:val="1"/>
      <w:numFmt w:val="chineseCounting"/>
      <w:suff w:val="nothing"/>
      <w:lvlText w:val="（%1）"/>
      <w:lvlJc w:val="left"/>
      <w:pPr>
        <w:ind w:left="0" w:firstLine="397"/>
      </w:pPr>
      <w:rPr>
        <w:rFonts w:hint="eastAsia"/>
      </w:rPr>
    </w:lvl>
  </w:abstractNum>
  <w:abstractNum w:abstractNumId="5">
    <w:nsid w:val="B5B779AF"/>
    <w:multiLevelType w:val="singleLevel"/>
    <w:tmpl w:val="B5B779AF"/>
    <w:lvl w:ilvl="0" w:tentative="0">
      <w:start w:val="1"/>
      <w:numFmt w:val="chineseCounting"/>
      <w:suff w:val="nothing"/>
      <w:lvlText w:val="（%1）"/>
      <w:lvlJc w:val="left"/>
      <w:pPr>
        <w:ind w:left="0" w:firstLine="397"/>
      </w:pPr>
      <w:rPr>
        <w:rFonts w:hint="eastAsia"/>
      </w:rPr>
    </w:lvl>
  </w:abstractNum>
  <w:abstractNum w:abstractNumId="6">
    <w:nsid w:val="D1F123DA"/>
    <w:multiLevelType w:val="singleLevel"/>
    <w:tmpl w:val="D1F123DA"/>
    <w:lvl w:ilvl="0" w:tentative="0">
      <w:start w:val="1"/>
      <w:numFmt w:val="chineseCounting"/>
      <w:suff w:val="nothing"/>
      <w:lvlText w:val="（%1）"/>
      <w:lvlJc w:val="left"/>
      <w:pPr>
        <w:ind w:left="410" w:firstLine="397"/>
      </w:pPr>
      <w:rPr>
        <w:rFonts w:hint="eastAsia"/>
      </w:rPr>
    </w:lvl>
  </w:abstractNum>
  <w:abstractNum w:abstractNumId="7">
    <w:nsid w:val="E2EEC74D"/>
    <w:multiLevelType w:val="singleLevel"/>
    <w:tmpl w:val="E2EEC74D"/>
    <w:lvl w:ilvl="0" w:tentative="0">
      <w:start w:val="1"/>
      <w:numFmt w:val="chineseCounting"/>
      <w:suff w:val="nothing"/>
      <w:lvlText w:val="（%1）"/>
      <w:lvlJc w:val="left"/>
      <w:pPr>
        <w:ind w:left="-640" w:firstLine="397"/>
      </w:pPr>
      <w:rPr>
        <w:rFonts w:hint="eastAsia"/>
      </w:rPr>
    </w:lvl>
  </w:abstractNum>
  <w:abstractNum w:abstractNumId="8">
    <w:nsid w:val="EE78B428"/>
    <w:multiLevelType w:val="singleLevel"/>
    <w:tmpl w:val="EE78B428"/>
    <w:lvl w:ilvl="0" w:tentative="0">
      <w:start w:val="1"/>
      <w:numFmt w:val="chineseCounting"/>
      <w:suff w:val="nothing"/>
      <w:lvlText w:val="（%1）"/>
      <w:lvlJc w:val="left"/>
      <w:pPr>
        <w:ind w:left="-10" w:firstLine="397"/>
      </w:pPr>
      <w:rPr>
        <w:rFonts w:hint="eastAsia"/>
        <w:color w:val="000000" w:themeColor="text1"/>
        <w14:textFill>
          <w14:solidFill>
            <w14:schemeClr w14:val="tx1"/>
          </w14:solidFill>
        </w14:textFill>
      </w:rPr>
    </w:lvl>
  </w:abstractNum>
  <w:abstractNum w:abstractNumId="9">
    <w:nsid w:val="F2E052A6"/>
    <w:multiLevelType w:val="singleLevel"/>
    <w:tmpl w:val="F2E052A6"/>
    <w:lvl w:ilvl="0" w:tentative="0">
      <w:start w:val="1"/>
      <w:numFmt w:val="chineseCounting"/>
      <w:suff w:val="nothing"/>
      <w:lvlText w:val="（%1）"/>
      <w:lvlJc w:val="left"/>
      <w:pPr>
        <w:ind w:left="0" w:firstLine="397"/>
      </w:pPr>
      <w:rPr>
        <w:rFonts w:hint="eastAsia"/>
      </w:rPr>
    </w:lvl>
  </w:abstractNum>
  <w:abstractNum w:abstractNumId="10">
    <w:nsid w:val="1B1FC912"/>
    <w:multiLevelType w:val="singleLevel"/>
    <w:tmpl w:val="1B1FC912"/>
    <w:lvl w:ilvl="0" w:tentative="0">
      <w:start w:val="1"/>
      <w:numFmt w:val="chineseCounting"/>
      <w:suff w:val="nothing"/>
      <w:lvlText w:val="（%1）"/>
      <w:lvlJc w:val="left"/>
      <w:pPr>
        <w:ind w:left="0" w:firstLine="397"/>
      </w:pPr>
      <w:rPr>
        <w:rFonts w:hint="eastAsia"/>
      </w:rPr>
    </w:lvl>
  </w:abstractNum>
  <w:abstractNum w:abstractNumId="11">
    <w:nsid w:val="223F9266"/>
    <w:multiLevelType w:val="singleLevel"/>
    <w:tmpl w:val="223F9266"/>
    <w:lvl w:ilvl="0" w:tentative="0">
      <w:start w:val="1"/>
      <w:numFmt w:val="chineseCounting"/>
      <w:suff w:val="nothing"/>
      <w:lvlText w:val="（%1）"/>
      <w:lvlJc w:val="left"/>
      <w:pPr>
        <w:ind w:left="0" w:firstLine="397"/>
      </w:pPr>
      <w:rPr>
        <w:rFonts w:hint="eastAsia"/>
      </w:rPr>
    </w:lvl>
  </w:abstractNum>
  <w:abstractNum w:abstractNumId="12">
    <w:nsid w:val="3793E354"/>
    <w:multiLevelType w:val="singleLevel"/>
    <w:tmpl w:val="3793E354"/>
    <w:lvl w:ilvl="0" w:tentative="0">
      <w:start w:val="1"/>
      <w:numFmt w:val="chineseCounting"/>
      <w:suff w:val="nothing"/>
      <w:lvlText w:val="（%1）"/>
      <w:lvlJc w:val="left"/>
      <w:pPr>
        <w:ind w:left="0" w:firstLine="397"/>
      </w:pPr>
      <w:rPr>
        <w:rFonts w:hint="eastAsia"/>
      </w:rPr>
    </w:lvl>
  </w:abstractNum>
  <w:abstractNum w:abstractNumId="13">
    <w:nsid w:val="619D00B3"/>
    <w:multiLevelType w:val="singleLevel"/>
    <w:tmpl w:val="619D00B3"/>
    <w:lvl w:ilvl="0" w:tentative="0">
      <w:start w:val="1"/>
      <w:numFmt w:val="chineseCounting"/>
      <w:suff w:val="nothing"/>
      <w:lvlText w:val="（%1）"/>
      <w:lvlJc w:val="left"/>
      <w:pPr>
        <w:ind w:left="0" w:firstLine="397"/>
      </w:pPr>
      <w:rPr>
        <w:rFonts w:hint="eastAsia"/>
      </w:rPr>
    </w:lvl>
  </w:abstractNum>
  <w:abstractNum w:abstractNumId="14">
    <w:nsid w:val="7BA3DC62"/>
    <w:multiLevelType w:val="singleLevel"/>
    <w:tmpl w:val="7BA3DC62"/>
    <w:lvl w:ilvl="0" w:tentative="0">
      <w:start w:val="1"/>
      <w:numFmt w:val="chineseCounting"/>
      <w:suff w:val="nothing"/>
      <w:lvlText w:val="（%1）"/>
      <w:lvlJc w:val="left"/>
      <w:pPr>
        <w:ind w:left="0" w:firstLine="397"/>
      </w:pPr>
      <w:rPr>
        <w:rFonts w:hint="eastAsia"/>
      </w:rPr>
    </w:lvl>
  </w:abstractNum>
  <w:abstractNum w:abstractNumId="15">
    <w:nsid w:val="7D8665CB"/>
    <w:multiLevelType w:val="singleLevel"/>
    <w:tmpl w:val="7D8665CB"/>
    <w:lvl w:ilvl="0" w:tentative="0">
      <w:start w:val="1"/>
      <w:numFmt w:val="chineseCounting"/>
      <w:suff w:val="nothing"/>
      <w:lvlText w:val="（%1）"/>
      <w:lvlJc w:val="left"/>
      <w:pPr>
        <w:ind w:left="0" w:firstLine="397"/>
      </w:pPr>
      <w:rPr>
        <w:rFonts w:hint="eastAsia"/>
      </w:rPr>
    </w:lvl>
  </w:abstractNum>
  <w:num w:numId="1">
    <w:abstractNumId w:val="6"/>
  </w:num>
  <w:num w:numId="2">
    <w:abstractNumId w:val="0"/>
  </w:num>
  <w:num w:numId="3">
    <w:abstractNumId w:val="13"/>
  </w:num>
  <w:num w:numId="4">
    <w:abstractNumId w:val="12"/>
  </w:num>
  <w:num w:numId="5">
    <w:abstractNumId w:val="10"/>
  </w:num>
  <w:num w:numId="6">
    <w:abstractNumId w:val="9"/>
  </w:num>
  <w:num w:numId="7">
    <w:abstractNumId w:val="11"/>
  </w:num>
  <w:num w:numId="8">
    <w:abstractNumId w:val="7"/>
  </w:num>
  <w:num w:numId="9">
    <w:abstractNumId w:val="1"/>
  </w:num>
  <w:num w:numId="10">
    <w:abstractNumId w:val="2"/>
  </w:num>
  <w:num w:numId="11">
    <w:abstractNumId w:val="3"/>
  </w:num>
  <w:num w:numId="12">
    <w:abstractNumId w:val="8"/>
  </w:num>
  <w:num w:numId="13">
    <w:abstractNumId w:val="15"/>
  </w:num>
  <w:num w:numId="14">
    <w:abstractNumId w:val="14"/>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641DA"/>
    <w:rsid w:val="006E7F0A"/>
    <w:rsid w:val="00FF7AC3"/>
    <w:rsid w:val="04F85939"/>
    <w:rsid w:val="07F06126"/>
    <w:rsid w:val="08F227CC"/>
    <w:rsid w:val="09E2022F"/>
    <w:rsid w:val="0A14287D"/>
    <w:rsid w:val="0A57304B"/>
    <w:rsid w:val="0A8B78F9"/>
    <w:rsid w:val="0B2E374F"/>
    <w:rsid w:val="0B5437A8"/>
    <w:rsid w:val="0BCB0CA5"/>
    <w:rsid w:val="0C952413"/>
    <w:rsid w:val="0D017BA3"/>
    <w:rsid w:val="0D591BBB"/>
    <w:rsid w:val="0D6109D1"/>
    <w:rsid w:val="0D7D3767"/>
    <w:rsid w:val="0EFC1967"/>
    <w:rsid w:val="0F256B69"/>
    <w:rsid w:val="0F701A08"/>
    <w:rsid w:val="10AF7CCA"/>
    <w:rsid w:val="10CB709E"/>
    <w:rsid w:val="13CA292C"/>
    <w:rsid w:val="14017BCD"/>
    <w:rsid w:val="142000DB"/>
    <w:rsid w:val="149372FB"/>
    <w:rsid w:val="14FF7F63"/>
    <w:rsid w:val="15E96964"/>
    <w:rsid w:val="16006B06"/>
    <w:rsid w:val="16180AB0"/>
    <w:rsid w:val="16213F36"/>
    <w:rsid w:val="1718238A"/>
    <w:rsid w:val="188B47B0"/>
    <w:rsid w:val="18D641DA"/>
    <w:rsid w:val="19FA3CAE"/>
    <w:rsid w:val="1ABB4248"/>
    <w:rsid w:val="1B555D48"/>
    <w:rsid w:val="1B77186B"/>
    <w:rsid w:val="1BA84E2A"/>
    <w:rsid w:val="1BDF1935"/>
    <w:rsid w:val="1C192B51"/>
    <w:rsid w:val="1C444BCD"/>
    <w:rsid w:val="1C552C65"/>
    <w:rsid w:val="1C721B2D"/>
    <w:rsid w:val="1D136439"/>
    <w:rsid w:val="1EFB6B9B"/>
    <w:rsid w:val="1F8F285F"/>
    <w:rsid w:val="1FCF46F7"/>
    <w:rsid w:val="20A11F9D"/>
    <w:rsid w:val="20E325BF"/>
    <w:rsid w:val="22A02281"/>
    <w:rsid w:val="23E0504B"/>
    <w:rsid w:val="23F4630A"/>
    <w:rsid w:val="247A1850"/>
    <w:rsid w:val="24B2771A"/>
    <w:rsid w:val="24BC1C8A"/>
    <w:rsid w:val="26D30201"/>
    <w:rsid w:val="2777542F"/>
    <w:rsid w:val="27C926CC"/>
    <w:rsid w:val="28391720"/>
    <w:rsid w:val="28BA50EE"/>
    <w:rsid w:val="2AA3204B"/>
    <w:rsid w:val="2B0B64C8"/>
    <w:rsid w:val="2B3E4643"/>
    <w:rsid w:val="2B475CDD"/>
    <w:rsid w:val="2CF672EA"/>
    <w:rsid w:val="2D8B1C07"/>
    <w:rsid w:val="2DA07C27"/>
    <w:rsid w:val="2E2305F3"/>
    <w:rsid w:val="2FBFB3B7"/>
    <w:rsid w:val="31B74CAF"/>
    <w:rsid w:val="32685F0A"/>
    <w:rsid w:val="33D00952"/>
    <w:rsid w:val="357C150F"/>
    <w:rsid w:val="36032CDB"/>
    <w:rsid w:val="360C1C38"/>
    <w:rsid w:val="368C53CB"/>
    <w:rsid w:val="374D2922"/>
    <w:rsid w:val="37FA73BE"/>
    <w:rsid w:val="389653FD"/>
    <w:rsid w:val="38A65C74"/>
    <w:rsid w:val="38DA51C9"/>
    <w:rsid w:val="3A625BED"/>
    <w:rsid w:val="3AA454AC"/>
    <w:rsid w:val="3AD97BB3"/>
    <w:rsid w:val="3B197551"/>
    <w:rsid w:val="3B962D00"/>
    <w:rsid w:val="3BE833FD"/>
    <w:rsid w:val="3C380B06"/>
    <w:rsid w:val="3CB668DF"/>
    <w:rsid w:val="3E8B526D"/>
    <w:rsid w:val="3F0A2A6C"/>
    <w:rsid w:val="3FF54274"/>
    <w:rsid w:val="40CB7E65"/>
    <w:rsid w:val="41F60E2B"/>
    <w:rsid w:val="424E505A"/>
    <w:rsid w:val="42992332"/>
    <w:rsid w:val="43D54BBC"/>
    <w:rsid w:val="44B746BE"/>
    <w:rsid w:val="455C5CD6"/>
    <w:rsid w:val="4568717B"/>
    <w:rsid w:val="45C34739"/>
    <w:rsid w:val="468344F5"/>
    <w:rsid w:val="478C7C24"/>
    <w:rsid w:val="47D81C50"/>
    <w:rsid w:val="48592F80"/>
    <w:rsid w:val="48B07888"/>
    <w:rsid w:val="48BE0528"/>
    <w:rsid w:val="4B000025"/>
    <w:rsid w:val="4B004469"/>
    <w:rsid w:val="4B5056B1"/>
    <w:rsid w:val="4C1540BF"/>
    <w:rsid w:val="4C374BF5"/>
    <w:rsid w:val="4E0E2BC3"/>
    <w:rsid w:val="4EAC01B2"/>
    <w:rsid w:val="4F182A3B"/>
    <w:rsid w:val="4F5010AA"/>
    <w:rsid w:val="502C44C5"/>
    <w:rsid w:val="50386ABF"/>
    <w:rsid w:val="509A149B"/>
    <w:rsid w:val="51175C06"/>
    <w:rsid w:val="51864D59"/>
    <w:rsid w:val="53E4469E"/>
    <w:rsid w:val="5476070F"/>
    <w:rsid w:val="54912AD6"/>
    <w:rsid w:val="555F5D6F"/>
    <w:rsid w:val="55C47397"/>
    <w:rsid w:val="55F0358B"/>
    <w:rsid w:val="564D1849"/>
    <w:rsid w:val="578141BF"/>
    <w:rsid w:val="583E0A7D"/>
    <w:rsid w:val="58E32AC5"/>
    <w:rsid w:val="5A8B491D"/>
    <w:rsid w:val="5B4831E7"/>
    <w:rsid w:val="5B520543"/>
    <w:rsid w:val="5B7B4C28"/>
    <w:rsid w:val="5BEF4B57"/>
    <w:rsid w:val="5C4420CA"/>
    <w:rsid w:val="5C8D405B"/>
    <w:rsid w:val="5E3309FE"/>
    <w:rsid w:val="5E541AA9"/>
    <w:rsid w:val="5F4676BD"/>
    <w:rsid w:val="61487622"/>
    <w:rsid w:val="621A4448"/>
    <w:rsid w:val="628E348F"/>
    <w:rsid w:val="62D30884"/>
    <w:rsid w:val="630E4320"/>
    <w:rsid w:val="63B43042"/>
    <w:rsid w:val="63FD1F9E"/>
    <w:rsid w:val="64422734"/>
    <w:rsid w:val="64B54B35"/>
    <w:rsid w:val="64F657B2"/>
    <w:rsid w:val="66131615"/>
    <w:rsid w:val="66FE7B48"/>
    <w:rsid w:val="67AE2B54"/>
    <w:rsid w:val="68840D80"/>
    <w:rsid w:val="69D52E4E"/>
    <w:rsid w:val="6A661A62"/>
    <w:rsid w:val="6AB90A57"/>
    <w:rsid w:val="6F7FFA4A"/>
    <w:rsid w:val="6F803201"/>
    <w:rsid w:val="6FD362CC"/>
    <w:rsid w:val="6FFFE8BA"/>
    <w:rsid w:val="71BA2D96"/>
    <w:rsid w:val="71C64818"/>
    <w:rsid w:val="7219773F"/>
    <w:rsid w:val="74D34C8C"/>
    <w:rsid w:val="759A1762"/>
    <w:rsid w:val="76CB2EA3"/>
    <w:rsid w:val="77A27041"/>
    <w:rsid w:val="79865846"/>
    <w:rsid w:val="7ADB0BD0"/>
    <w:rsid w:val="7BBFC1A8"/>
    <w:rsid w:val="7BD7761D"/>
    <w:rsid w:val="7BFF712F"/>
    <w:rsid w:val="7CA84341"/>
    <w:rsid w:val="7D220124"/>
    <w:rsid w:val="7D4310A7"/>
    <w:rsid w:val="7DDE9758"/>
    <w:rsid w:val="7ED252F3"/>
    <w:rsid w:val="7FD891BD"/>
    <w:rsid w:val="96F7AEA3"/>
    <w:rsid w:val="AF3F66C6"/>
    <w:rsid w:val="B3FAEDA5"/>
    <w:rsid w:val="CF7F41B3"/>
    <w:rsid w:val="D5BFFA82"/>
    <w:rsid w:val="DFFF510B"/>
    <w:rsid w:val="E7EA8784"/>
    <w:rsid w:val="EFEF06B6"/>
    <w:rsid w:val="F582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rFonts w:hAnsi="Times New Roman"/>
      <w:b/>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99"/>
    <w:pPr>
      <w:spacing w:after="120"/>
      <w:ind w:left="420" w:leftChars="200"/>
    </w:pPr>
    <w:rPr>
      <w:rFonts w:ascii="Times New Roman" w:hAnsi="Times New Roman"/>
    </w:rPr>
  </w:style>
  <w:style w:type="paragraph" w:styleId="5">
    <w:name w:val="Body Text"/>
    <w:basedOn w:val="1"/>
    <w:next w:val="1"/>
    <w:qFormat/>
    <w:uiPriority w:val="0"/>
    <w:rPr>
      <w:rFonts w:ascii="Times New Roman" w:hAnsi="Times New Roman"/>
      <w:sz w:val="24"/>
      <w:szCs w:val="24"/>
      <w:lang w:val="zh-CN"/>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rFonts w:eastAsia="仿宋_GB2312" w:cs="Times New Roman"/>
      <w:sz w:val="18"/>
      <w:szCs w:val="18"/>
    </w:rPr>
  </w:style>
  <w:style w:type="paragraph" w:styleId="8">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Body Text 2"/>
    <w:basedOn w:val="1"/>
    <w:unhideWhenUsed/>
    <w:qFormat/>
    <w:uiPriority w:val="99"/>
    <w:pPr>
      <w:spacing w:after="120" w:line="480" w:lineRule="auto"/>
    </w:pPr>
    <w:rPr>
      <w:sz w:val="24"/>
      <w:szCs w:val="24"/>
    </w:rPr>
  </w:style>
  <w:style w:type="character" w:styleId="12">
    <w:name w:val="page number"/>
    <w:basedOn w:val="11"/>
    <w:qFormat/>
    <w:uiPriority w:val="0"/>
  </w:style>
  <w:style w:type="paragraph" w:customStyle="1" w:styleId="13">
    <w:name w:val="样式1"/>
    <w:basedOn w:val="8"/>
    <w:next w:val="1"/>
    <w:qFormat/>
    <w:uiPriority w:val="0"/>
    <w:rPr>
      <w:rFonts w:ascii="Times New Roman" w:hAnsi="Times New Roman"/>
    </w:rPr>
  </w:style>
  <w:style w:type="character" w:customStyle="1" w:styleId="14">
    <w:name w:val="font31"/>
    <w:basedOn w:val="11"/>
    <w:qFormat/>
    <w:uiPriority w:val="0"/>
    <w:rPr>
      <w:rFonts w:hint="eastAsia" w:ascii="宋体" w:hAnsi="宋体" w:eastAsia="宋体" w:cs="宋体"/>
      <w:color w:val="000000"/>
      <w:sz w:val="22"/>
      <w:szCs w:val="22"/>
      <w:u w:val="none"/>
    </w:rPr>
  </w:style>
  <w:style w:type="character" w:customStyle="1" w:styleId="15">
    <w:name w:val="font71"/>
    <w:basedOn w:val="11"/>
    <w:qFormat/>
    <w:uiPriority w:val="0"/>
    <w:rPr>
      <w:rFonts w:hint="eastAsia" w:ascii="宋体" w:hAnsi="宋体" w:eastAsia="宋体" w:cs="宋体"/>
      <w:color w:val="000000"/>
      <w:sz w:val="22"/>
      <w:szCs w:val="22"/>
      <w:u w:val="single"/>
    </w:rPr>
  </w:style>
  <w:style w:type="character" w:customStyle="1" w:styleId="16">
    <w:name w:val="font112"/>
    <w:basedOn w:val="11"/>
    <w:qFormat/>
    <w:uiPriority w:val="0"/>
    <w:rPr>
      <w:rFonts w:hint="eastAsia" w:ascii="宋体" w:hAnsi="宋体" w:eastAsia="宋体" w:cs="宋体"/>
      <w:b/>
      <w:color w:val="000000"/>
      <w:sz w:val="21"/>
      <w:szCs w:val="21"/>
      <w:u w:val="none"/>
    </w:rPr>
  </w:style>
  <w:style w:type="character" w:customStyle="1" w:styleId="17">
    <w:name w:val="font91"/>
    <w:basedOn w:val="11"/>
    <w:qFormat/>
    <w:uiPriority w:val="0"/>
    <w:rPr>
      <w:rFonts w:hint="default" w:ascii="Times New Roman" w:hAnsi="Times New Roman" w:cs="Times New Roman"/>
      <w:b/>
      <w:color w:val="000000"/>
      <w:sz w:val="21"/>
      <w:szCs w:val="21"/>
      <w:u w:val="none"/>
    </w:rPr>
  </w:style>
  <w:style w:type="character" w:customStyle="1" w:styleId="18">
    <w:name w:val="font21"/>
    <w:basedOn w:val="11"/>
    <w:qFormat/>
    <w:uiPriority w:val="0"/>
    <w:rPr>
      <w:rFonts w:hint="default" w:ascii="Times New Roman" w:hAnsi="Times New Roman" w:cs="Times New Roman"/>
      <w:b/>
      <w:color w:val="FF0000"/>
      <w:sz w:val="21"/>
      <w:szCs w:val="21"/>
      <w:u w:val="none"/>
    </w:rPr>
  </w:style>
  <w:style w:type="character" w:customStyle="1" w:styleId="19">
    <w:name w:val="font41"/>
    <w:basedOn w:val="11"/>
    <w:qFormat/>
    <w:uiPriority w:val="0"/>
    <w:rPr>
      <w:rFonts w:hint="eastAsia" w:ascii="宋体" w:hAnsi="宋体" w:eastAsia="宋体" w:cs="宋体"/>
      <w:b/>
      <w:color w:val="FF0000"/>
      <w:sz w:val="21"/>
      <w:szCs w:val="21"/>
      <w:u w:val="none"/>
    </w:rPr>
  </w:style>
  <w:style w:type="character" w:customStyle="1" w:styleId="20">
    <w:name w:val="font11"/>
    <w:basedOn w:val="11"/>
    <w:qFormat/>
    <w:uiPriority w:val="0"/>
    <w:rPr>
      <w:rFonts w:hint="eastAsia" w:ascii="宋体" w:hAnsi="宋体" w:eastAsia="宋体" w:cs="宋体"/>
      <w:b/>
      <w:color w:val="FF0000"/>
      <w:sz w:val="21"/>
      <w:szCs w:val="21"/>
      <w:u w:val="single"/>
    </w:rPr>
  </w:style>
  <w:style w:type="character" w:customStyle="1" w:styleId="21">
    <w:name w:val="font81"/>
    <w:basedOn w:val="11"/>
    <w:qFormat/>
    <w:uiPriority w:val="0"/>
    <w:rPr>
      <w:rFonts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8748</Words>
  <Characters>9060</Characters>
  <Lines>0</Lines>
  <Paragraphs>0</Paragraphs>
  <TotalTime>4</TotalTime>
  <ScaleCrop>false</ScaleCrop>
  <LinksUpToDate>false</LinksUpToDate>
  <CharactersWithSpaces>9303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2023-11-20T10:21:00Z</dcterms:created>
  <dc:creator>祥</dc:creator>
  <cp:lastModifiedBy>JX</cp:lastModifiedBy>
  <dcterms:modified xsi:type="dcterms:W3CDTF">2025-11-11T03:17:59Z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70C32CC64BE22DEBEEBF09699E4D2342_42</vt:lpwstr>
  </property>
</Properties>
</file>