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3666A">
      <w:pPr>
        <w:rPr>
          <w:rFonts w:hint="eastAsia" w:ascii="Calibri" w:hAnsi="Calibri" w:eastAsia="宋体" w:cs="Times New Roman"/>
          <w:kern w:val="2"/>
          <w:sz w:val="21"/>
          <w:szCs w:val="22"/>
          <w:lang w:val="en-US" w:eastAsia="zh-CN" w:bidi="ar-SA"/>
        </w:rPr>
      </w:pPr>
    </w:p>
    <w:p w14:paraId="37B97DF3">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568042AB">
      <w:pPr>
        <w:widowControl/>
        <w:jc w:val="center"/>
        <w:rPr>
          <w:rFonts w:ascii="Times New Roman" w:hAnsi="Times New Roman"/>
          <w:b/>
          <w:sz w:val="84"/>
          <w:szCs w:val="84"/>
        </w:rPr>
      </w:pPr>
      <w:r>
        <w:rPr>
          <w:rFonts w:hint="eastAsia" w:ascii="方正黑体_GBK" w:hAnsi="方正黑体_GBK" w:eastAsia="方正黑体_GBK" w:cs="方正黑体_GBK"/>
          <w:bCs/>
          <w:kern w:val="0"/>
          <w:sz w:val="48"/>
          <w:szCs w:val="48"/>
        </w:rPr>
        <w:t>导购员外包项目</w:t>
      </w:r>
    </w:p>
    <w:p w14:paraId="7D6C5DE8">
      <w:pPr>
        <w:widowControl/>
        <w:jc w:val="center"/>
        <w:rPr>
          <w:rFonts w:ascii="方正黑体_GBK" w:hAnsi="方正黑体_GBK" w:eastAsia="方正黑体_GBK" w:cs="方正黑体_GBK"/>
          <w:bCs/>
          <w:kern w:val="0"/>
          <w:sz w:val="56"/>
          <w:szCs w:val="56"/>
        </w:rPr>
      </w:pPr>
    </w:p>
    <w:p w14:paraId="0935F19D">
      <w:pPr>
        <w:widowControl/>
        <w:jc w:val="center"/>
        <w:rPr>
          <w:sz w:val="24"/>
          <w:szCs w:val="28"/>
        </w:rPr>
      </w:pPr>
      <w:r>
        <w:rPr>
          <w:rFonts w:hint="eastAsia" w:ascii="方正黑体_GBK" w:hAnsi="方正黑体_GBK" w:eastAsia="方正黑体_GBK" w:cs="方正黑体_GBK"/>
          <w:bCs/>
          <w:kern w:val="0"/>
          <w:sz w:val="96"/>
          <w:szCs w:val="96"/>
        </w:rPr>
        <w:t>比</w:t>
      </w:r>
    </w:p>
    <w:p w14:paraId="35C9BA7A">
      <w:pPr>
        <w:widowControl/>
        <w:jc w:val="center"/>
        <w:rPr>
          <w:rFonts w:ascii="方正黑体_GBK" w:hAnsi="方正黑体_GBK" w:eastAsia="方正黑体_GBK" w:cs="方正黑体_GBK"/>
          <w:bCs/>
          <w:kern w:val="0"/>
          <w:sz w:val="96"/>
          <w:szCs w:val="96"/>
        </w:rPr>
      </w:pPr>
      <w:r>
        <w:rPr>
          <w:rFonts w:hint="eastAsia" w:ascii="方正黑体_GBK" w:hAnsi="方正黑体_GBK" w:eastAsia="方正黑体_GBK" w:cs="方正黑体_GBK"/>
          <w:bCs/>
          <w:kern w:val="0"/>
          <w:sz w:val="96"/>
          <w:szCs w:val="96"/>
        </w:rPr>
        <w:t>选</w:t>
      </w:r>
    </w:p>
    <w:p w14:paraId="09ECB190">
      <w:pPr>
        <w:widowControl/>
        <w:jc w:val="center"/>
        <w:rPr>
          <w:rFonts w:ascii="方正黑体_GBK" w:hAnsi="方正黑体_GBK" w:eastAsia="方正黑体_GBK" w:cs="方正黑体_GBK"/>
          <w:bCs/>
          <w:kern w:val="0"/>
          <w:sz w:val="96"/>
          <w:szCs w:val="96"/>
        </w:rPr>
      </w:pPr>
      <w:r>
        <w:rPr>
          <w:rFonts w:hint="eastAsia" w:ascii="方正黑体_GBK" w:hAnsi="方正黑体_GBK" w:eastAsia="方正黑体_GBK" w:cs="方正黑体_GBK"/>
          <w:bCs/>
          <w:kern w:val="0"/>
          <w:sz w:val="96"/>
          <w:szCs w:val="96"/>
        </w:rPr>
        <w:t>文</w:t>
      </w:r>
    </w:p>
    <w:p w14:paraId="0E0BC840">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96"/>
          <w:szCs w:val="96"/>
        </w:rPr>
        <w:t>件</w:t>
      </w:r>
    </w:p>
    <w:p w14:paraId="1109DF9B">
      <w:pPr>
        <w:rPr>
          <w:rFonts w:ascii="方正黑体_GBK" w:hAnsi="方正黑体_GBK" w:eastAsia="方正黑体_GBK" w:cs="方正黑体_GBK"/>
          <w:bCs/>
          <w:sz w:val="22"/>
          <w:szCs w:val="24"/>
        </w:rPr>
      </w:pPr>
    </w:p>
    <w:p w14:paraId="34737946">
      <w:pPr>
        <w:rPr>
          <w:rFonts w:ascii="方正黑体_GBK" w:hAnsi="方正黑体_GBK" w:eastAsia="方正黑体_GBK" w:cs="方正黑体_GBK"/>
          <w:bCs/>
        </w:rPr>
      </w:pPr>
    </w:p>
    <w:p w14:paraId="36AB1844">
      <w:pPr>
        <w:autoSpaceDE w:val="0"/>
        <w:autoSpaceDN w:val="0"/>
        <w:adjustRightInd w:val="0"/>
        <w:spacing w:line="560" w:lineRule="exact"/>
        <w:rPr>
          <w:rFonts w:ascii="方正黑体_GBK" w:hAnsi="方正黑体_GBK" w:eastAsia="方正黑体_GBK" w:cs="方正黑体_GBK"/>
          <w:bCs/>
          <w:kern w:val="0"/>
          <w:sz w:val="44"/>
          <w:szCs w:val="44"/>
        </w:rPr>
      </w:pPr>
    </w:p>
    <w:p w14:paraId="0FD34E36">
      <w:pPr>
        <w:autoSpaceDE w:val="0"/>
        <w:autoSpaceDN w:val="0"/>
        <w:adjustRightInd w:val="0"/>
        <w:spacing w:line="560" w:lineRule="exact"/>
        <w:jc w:val="center"/>
        <w:rPr>
          <w:rFonts w:ascii="方正黑体_GBK" w:hAnsi="方正黑体_GBK" w:eastAsia="方正黑体_GBK" w:cs="方正黑体_GBK"/>
          <w:bCs/>
          <w:kern w:val="0"/>
          <w:sz w:val="44"/>
          <w:szCs w:val="44"/>
        </w:rPr>
      </w:pPr>
    </w:p>
    <w:p w14:paraId="5B95C1F1">
      <w:pPr>
        <w:autoSpaceDE w:val="0"/>
        <w:autoSpaceDN w:val="0"/>
        <w:adjustRightInd w:val="0"/>
        <w:spacing w:line="560" w:lineRule="exact"/>
        <w:jc w:val="center"/>
        <w:rPr>
          <w:rFonts w:ascii="Times New Roman" w:hAnsi="Times New Roman" w:eastAsia="方正黑体_GBK"/>
          <w:bCs/>
          <w:kern w:val="0"/>
          <w:sz w:val="28"/>
          <w:szCs w:val="28"/>
        </w:rPr>
        <w:sectPr>
          <w:headerReference r:id="rId3" w:type="default"/>
          <w:footerReference r:id="rId4" w:type="default"/>
          <w:footerReference r:id="rId5" w:type="even"/>
          <w:pgSz w:w="11906" w:h="16838"/>
          <w:pgMar w:top="1984" w:right="1587" w:bottom="2098" w:left="1587" w:header="851" w:footer="992" w:gutter="0"/>
          <w:pgNumType w:fmt="numberInDash"/>
          <w:cols w:space="720" w:num="1"/>
          <w:titlePg/>
          <w:docGrid w:type="lines" w:linePitch="312" w:charSpace="0"/>
        </w:sectPr>
      </w:pPr>
      <w:r>
        <w:rPr>
          <w:rFonts w:hint="eastAsia" w:ascii="方正黑体_GBK" w:hAnsi="方正黑体_GBK" w:eastAsia="方正黑体_GBK" w:cs="方正黑体_GBK"/>
          <w:bCs/>
          <w:kern w:val="0"/>
          <w:sz w:val="44"/>
          <w:szCs w:val="44"/>
        </w:rPr>
        <w:t>2025年12月</w:t>
      </w:r>
    </w:p>
    <w:p w14:paraId="2DBE004F">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第一部分：投标人须知</w:t>
      </w:r>
    </w:p>
    <w:p w14:paraId="723122C4">
      <w:pPr>
        <w:spacing w:line="610" w:lineRule="exact"/>
        <w:ind w:firstLine="640" w:firstLineChars="200"/>
        <w:rPr>
          <w:rFonts w:ascii="方正黑体_GBK" w:hAnsi="方正黑体_GBK" w:eastAsia="方正黑体_GBK" w:cs="方正黑体_GBK"/>
          <w:sz w:val="32"/>
          <w:szCs w:val="32"/>
        </w:rPr>
      </w:pPr>
    </w:p>
    <w:p w14:paraId="3ED96A47">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发标公司名称</w:t>
      </w:r>
    </w:p>
    <w:p w14:paraId="2E760E11">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中垦华山牧乳业有限公司</w:t>
      </w:r>
    </w:p>
    <w:p w14:paraId="1584CD6F">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发标公司地址</w:t>
      </w:r>
    </w:p>
    <w:p w14:paraId="6750771C">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陕西省渭南市高新技术产业开发区中垦大道</w:t>
      </w:r>
    </w:p>
    <w:p w14:paraId="7A05851E">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项目实施时间及地点</w:t>
      </w:r>
    </w:p>
    <w:p w14:paraId="3534936E">
      <w:pPr>
        <w:spacing w:line="61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2026年1月1日-2027年12月31日，</w:t>
      </w:r>
      <w:bookmarkStart w:id="0" w:name="OLE_LINK1"/>
      <w:r>
        <w:rPr>
          <w:rFonts w:hint="eastAsia" w:ascii="方正仿宋_GBK" w:hAnsi="方正仿宋_GBK" w:eastAsia="方正仿宋_GBK" w:cs="方正仿宋_GBK"/>
          <w:kern w:val="0"/>
          <w:sz w:val="32"/>
          <w:szCs w:val="32"/>
        </w:rPr>
        <w:t>陕西省内西安、咸阳、宝鸡、渭南等地</w:t>
      </w:r>
      <w:bookmarkEnd w:id="0"/>
      <w:r>
        <w:rPr>
          <w:rFonts w:hint="eastAsia" w:ascii="方正仿宋_GBK" w:hAnsi="方正仿宋_GBK" w:eastAsia="方正仿宋_GBK" w:cs="方正仿宋_GBK"/>
          <w:kern w:val="0"/>
          <w:sz w:val="32"/>
          <w:szCs w:val="32"/>
        </w:rPr>
        <w:t>。</w:t>
      </w:r>
    </w:p>
    <w:p w14:paraId="314F2AD2">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项目名称</w:t>
      </w:r>
    </w:p>
    <w:p w14:paraId="110AF309">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中垦华山牧乳业有限公司导购员外包项目</w:t>
      </w:r>
    </w:p>
    <w:p w14:paraId="11F67B55">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项目内容</w:t>
      </w:r>
    </w:p>
    <w:p w14:paraId="0E7BCC89">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负责</w:t>
      </w:r>
      <w:r>
        <w:rPr>
          <w:rFonts w:hint="eastAsia" w:ascii="方正仿宋_GBK" w:hAnsi="方正仿宋_GBK" w:eastAsia="方正仿宋_GBK" w:cs="方正仿宋_GBK"/>
          <w:color w:val="000000"/>
          <w:sz w:val="32"/>
          <w:szCs w:val="32"/>
          <w:lang w:val="en-US" w:eastAsia="zh-CN"/>
        </w:rPr>
        <w:t>公司</w:t>
      </w:r>
      <w:r>
        <w:rPr>
          <w:rFonts w:hint="eastAsia" w:ascii="方正仿宋_GBK" w:hAnsi="方正仿宋_GBK" w:eastAsia="方正仿宋_GBK" w:cs="方正仿宋_GBK"/>
          <w:color w:val="000000"/>
          <w:sz w:val="32"/>
          <w:szCs w:val="32"/>
        </w:rPr>
        <w:t>导购员（含活动队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长促</w:t>
      </w:r>
      <w:r>
        <w:rPr>
          <w:rFonts w:hint="eastAsia" w:ascii="方正仿宋_GBK" w:hAnsi="方正仿宋_GBK" w:eastAsia="方正仿宋_GBK" w:cs="方正仿宋_GBK"/>
          <w:color w:val="000000"/>
          <w:sz w:val="32"/>
          <w:szCs w:val="32"/>
        </w:rPr>
        <w:t>、临促人员）以外包员工的形式提供劳务服务，并管理外包员工的人事档案、纠纷及其它综合事务。</w:t>
      </w:r>
    </w:p>
    <w:p w14:paraId="6EE2FD68">
      <w:pPr>
        <w:numPr>
          <w:ilvl w:val="0"/>
          <w:numId w:val="1"/>
        </w:numPr>
        <w:spacing w:line="610" w:lineRule="exact"/>
        <w:ind w:firstLine="640" w:firstLineChars="200"/>
        <w:rPr>
          <w:rFonts w:ascii="方正仿宋_GBK" w:hAnsi="方正仿宋_GBK" w:eastAsia="方正仿宋_GBK" w:cs="方正仿宋_GBK"/>
          <w:color w:val="000000"/>
          <w:sz w:val="32"/>
          <w:szCs w:val="32"/>
        </w:rPr>
      </w:pPr>
      <w:r>
        <w:rPr>
          <w:rFonts w:hint="eastAsia" w:ascii="方正黑体_GBK" w:hAnsi="方正黑体_GBK" w:eastAsia="方正黑体_GBK" w:cs="方正黑体_GBK"/>
          <w:sz w:val="32"/>
          <w:szCs w:val="32"/>
        </w:rPr>
        <w:t>项目开展方式：</w:t>
      </w:r>
      <w:r>
        <w:rPr>
          <w:rFonts w:hint="eastAsia" w:ascii="方正仿宋_GBK" w:hAnsi="方正仿宋_GBK" w:eastAsia="方正仿宋_GBK" w:cs="方正仿宋_GBK"/>
          <w:color w:val="000000"/>
          <w:sz w:val="32"/>
          <w:szCs w:val="32"/>
        </w:rPr>
        <w:t>公开比选</w:t>
      </w:r>
    </w:p>
    <w:p w14:paraId="4ADD25F0">
      <w:pPr>
        <w:numPr>
          <w:ilvl w:val="0"/>
          <w:numId w:val="1"/>
        </w:numPr>
        <w:spacing w:line="610" w:lineRule="exact"/>
        <w:ind w:firstLine="640" w:firstLineChars="200"/>
        <w:rPr>
          <w:rFonts w:ascii="仿宋_GB2312" w:hAnsi="仿宋_GB2312" w:eastAsia="仿宋_GB2312" w:cs="仿宋_GB2312"/>
          <w:sz w:val="32"/>
          <w:szCs w:val="32"/>
        </w:rPr>
      </w:pPr>
      <w:r>
        <w:rPr>
          <w:rFonts w:hint="eastAsia" w:ascii="方正黑体_GBK" w:hAnsi="方正黑体_GBK" w:eastAsia="方正黑体_GBK" w:cs="方正黑体_GBK"/>
          <w:sz w:val="32"/>
          <w:szCs w:val="32"/>
        </w:rPr>
        <w:t>投标人要求：</w:t>
      </w:r>
      <w:r>
        <w:rPr>
          <w:rFonts w:hint="eastAsia" w:ascii="方正仿宋_GBK" w:hAnsi="方正仿宋_GBK" w:eastAsia="方正仿宋_GBK" w:cs="方正仿宋_GBK"/>
          <w:color w:val="000000"/>
          <w:sz w:val="32"/>
          <w:szCs w:val="32"/>
        </w:rPr>
        <w:t>具备劳务外包及人力资源相关资质。须具备合法有效的劳务外包资质及人力资源服务相关资质（如《人力资源服务许可证》）</w:t>
      </w:r>
    </w:p>
    <w:p w14:paraId="530A160A">
      <w:pPr>
        <w:numPr>
          <w:ilvl w:val="0"/>
          <w:numId w:val="1"/>
        </w:numPr>
        <w:spacing w:line="61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投标保证金证明</w:t>
      </w:r>
    </w:p>
    <w:p w14:paraId="2D195CAF">
      <w:pPr>
        <w:numPr>
          <w:ilvl w:val="0"/>
          <w:numId w:val="2"/>
        </w:numPr>
        <w:spacing w:line="60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投标保证金金额</w:t>
      </w:r>
    </w:p>
    <w:p w14:paraId="6FDC2EE6">
      <w:pPr>
        <w:numPr>
          <w:ilvl w:val="0"/>
          <w:numId w:val="3"/>
        </w:numPr>
        <w:autoSpaceDE w:val="0"/>
        <w:autoSpaceDN w:val="0"/>
        <w:adjustRightIn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投标人需向招标方缴纳投标保证金10000元。</w:t>
      </w:r>
    </w:p>
    <w:p w14:paraId="39B4CC76">
      <w:pPr>
        <w:widowControl/>
        <w:adjustRightInd w:val="0"/>
        <w:snapToGrid w:val="0"/>
        <w:spacing w:line="60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账户名：中垦华山牧乳业有限公司</w:t>
      </w:r>
    </w:p>
    <w:p w14:paraId="4F500404">
      <w:pPr>
        <w:widowControl/>
        <w:adjustRightInd w:val="0"/>
        <w:snapToGrid w:val="0"/>
        <w:spacing w:line="60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开户行：交通银行渭南分行</w:t>
      </w:r>
    </w:p>
    <w:p w14:paraId="32C6E3E0">
      <w:pPr>
        <w:widowControl/>
        <w:adjustRightInd w:val="0"/>
        <w:snapToGrid w:val="0"/>
        <w:spacing w:line="60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账  号：6158  9999  1010  0030  21768</w:t>
      </w:r>
    </w:p>
    <w:p w14:paraId="157A3CC9">
      <w:pPr>
        <w:widowControl/>
        <w:adjustRightInd w:val="0"/>
        <w:snapToGrid w:val="0"/>
        <w:spacing w:line="600" w:lineRule="exact"/>
        <w:ind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color w:val="000000"/>
          <w:sz w:val="32"/>
          <w:szCs w:val="32"/>
        </w:rPr>
        <w:t>行  号：3017  9700  0015</w:t>
      </w:r>
    </w:p>
    <w:p w14:paraId="0F589AE2">
      <w:pPr>
        <w:numPr>
          <w:ilvl w:val="0"/>
          <w:numId w:val="3"/>
        </w:numPr>
        <w:autoSpaceDE w:val="0"/>
        <w:autoSpaceDN w:val="0"/>
        <w:adjustRightIn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转账时注明：中垦华山牧乳业有限公司导购员外包项目投标保证金。</w:t>
      </w:r>
    </w:p>
    <w:p w14:paraId="2CED665D">
      <w:pPr>
        <w:numPr>
          <w:ilvl w:val="0"/>
          <w:numId w:val="2"/>
        </w:numPr>
        <w:spacing w:line="60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投标保证金缴纳截止时间</w:t>
      </w:r>
    </w:p>
    <w:p w14:paraId="707AB83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w:t>
      </w:r>
      <w:r>
        <w:rPr>
          <w:rFonts w:hint="eastAsia" w:ascii="方正仿宋_GBK" w:hAnsi="方正仿宋_GBK" w:eastAsia="方正仿宋_GBK" w:cs="方正仿宋_GBK"/>
          <w:color w:val="auto"/>
          <w:sz w:val="32"/>
          <w:szCs w:val="32"/>
        </w:rPr>
        <w:t>保证金缴纳截止时间：2025年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25</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上午9</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00</w:t>
      </w:r>
      <w:r>
        <w:rPr>
          <w:rFonts w:hint="eastAsia" w:ascii="方正仿宋_GBK" w:hAnsi="方正仿宋_GBK" w:eastAsia="方正仿宋_GBK" w:cs="方正仿宋_GBK"/>
          <w:color w:val="auto"/>
          <w:sz w:val="32"/>
          <w:szCs w:val="32"/>
        </w:rPr>
        <w:t>前（以</w:t>
      </w:r>
      <w:r>
        <w:rPr>
          <w:rFonts w:hint="eastAsia" w:ascii="方正仿宋_GBK" w:hAnsi="方正仿宋_GBK" w:eastAsia="方正仿宋_GBK" w:cs="方正仿宋_GBK"/>
          <w:sz w:val="32"/>
          <w:szCs w:val="32"/>
        </w:rPr>
        <w:t>到账时间为准），逾期未缴纳保证金视为主动弃权。</w:t>
      </w:r>
    </w:p>
    <w:p w14:paraId="4A540DDE">
      <w:pPr>
        <w:numPr>
          <w:ilvl w:val="0"/>
          <w:numId w:val="2"/>
        </w:numPr>
        <w:spacing w:line="600"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投标保证金退还</w:t>
      </w:r>
    </w:p>
    <w:p w14:paraId="781D9807">
      <w:pPr>
        <w:spacing w:line="60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val="zh-CN"/>
        </w:rPr>
        <w:t>开标结束后5个工作日内，</w:t>
      </w:r>
      <w:r>
        <w:rPr>
          <w:rFonts w:hint="eastAsia" w:ascii="方正仿宋_GBK" w:hAnsi="方正仿宋_GBK" w:eastAsia="方正仿宋_GBK" w:cs="方正仿宋_GBK"/>
          <w:sz w:val="32"/>
          <w:szCs w:val="32"/>
        </w:rPr>
        <w:t>投标人</w:t>
      </w:r>
      <w:r>
        <w:rPr>
          <w:rFonts w:hint="eastAsia" w:ascii="方正仿宋_GBK" w:hAnsi="方正仿宋_GBK" w:eastAsia="方正仿宋_GBK" w:cs="方正仿宋_GBK"/>
          <w:sz w:val="32"/>
          <w:szCs w:val="32"/>
          <w:lang w:val="zh-CN"/>
        </w:rPr>
        <w:t>无欺诈等违规行为则如数（不计息）退还至原账户；投标过程发现投标人资质等存在虚假或中标后放弃中标</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zh-CN"/>
        </w:rPr>
        <w:t>等欺诈、违规行为，投标保证金一律不予退还。</w:t>
      </w:r>
    </w:p>
    <w:p w14:paraId="02C42BB0">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rPr>
        <w:t>报价</w:t>
      </w:r>
      <w:r>
        <w:rPr>
          <w:rFonts w:hint="eastAsia" w:ascii="方正黑体_GBK" w:hAnsi="方正黑体_GBK" w:eastAsia="方正黑体_GBK" w:cs="方正黑体_GBK"/>
          <w:sz w:val="32"/>
          <w:szCs w:val="32"/>
        </w:rPr>
        <w:t>和付款方式</w:t>
      </w:r>
    </w:p>
    <w:p w14:paraId="55555354">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报价方式：管理费为结算总金额的百分比（含税），采用一次报价方式，限时报价期为公告期截止日2025年</w:t>
      </w:r>
      <w:r>
        <w:rPr>
          <w:rFonts w:hint="eastAsia" w:ascii="方正仿宋_GBK" w:hAnsi="方正仿宋_GBK" w:eastAsia="方正仿宋_GBK" w:cs="方正仿宋_GBK"/>
          <w:color w:val="000000"/>
          <w:sz w:val="32"/>
          <w:szCs w:val="32"/>
          <w:lang w:val="en-US" w:eastAsia="zh-CN"/>
        </w:rPr>
        <w:t>12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25</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时</w:t>
      </w:r>
      <w:r>
        <w:rPr>
          <w:rFonts w:hint="eastAsia" w:ascii="方正仿宋_GBK" w:hAnsi="方正仿宋_GBK" w:eastAsia="方正仿宋_GBK" w:cs="方正仿宋_GBK"/>
          <w:color w:val="000000"/>
          <w:sz w:val="32"/>
          <w:szCs w:val="32"/>
          <w:lang w:val="en-US" w:eastAsia="zh-CN"/>
        </w:rPr>
        <w:t>00</w:t>
      </w:r>
      <w:r>
        <w:rPr>
          <w:rFonts w:hint="eastAsia" w:ascii="方正仿宋_GBK" w:hAnsi="方正仿宋_GBK" w:eastAsia="方正仿宋_GBK" w:cs="方正仿宋_GBK"/>
          <w:color w:val="000000"/>
          <w:sz w:val="32"/>
          <w:szCs w:val="32"/>
        </w:rPr>
        <w:t>分。</w:t>
      </w:r>
    </w:p>
    <w:p w14:paraId="3FF75069">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付款方式：中标单位每月13日前提供上月对账确认单，经招标方确认无误后，按要求开具增值税专用发票，招标方收到发票后于15日前完成付款。</w:t>
      </w:r>
    </w:p>
    <w:p w14:paraId="21447634">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获取比选文件时间</w:t>
      </w:r>
    </w:p>
    <w:p w14:paraId="59604434">
      <w:pPr>
        <w:widowControl/>
        <w:ind w:firstLine="640" w:firstLineChars="200"/>
        <w:jc w:val="left"/>
        <w:rPr>
          <w:rFonts w:ascii="方正黑体_GBK" w:hAnsi="方正黑体_GBK" w:eastAsia="方正仿宋_GBK" w:cs="方正黑体_GBK"/>
          <w:sz w:val="32"/>
          <w:szCs w:val="32"/>
        </w:rPr>
      </w:pPr>
      <w:r>
        <w:rPr>
          <w:rFonts w:hint="eastAsia" w:ascii="方正仿宋_GBK" w:hAnsi="方正仿宋_GBK" w:eastAsia="方正仿宋_GBK" w:cs="方正仿宋_GBK"/>
          <w:kern w:val="0"/>
          <w:sz w:val="32"/>
          <w:szCs w:val="32"/>
        </w:rPr>
        <w:t>2025年</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19</w:t>
      </w:r>
      <w:r>
        <w:rPr>
          <w:rFonts w:hint="eastAsia" w:ascii="方正仿宋_GBK" w:hAnsi="方正仿宋_GBK" w:eastAsia="方正仿宋_GBK" w:cs="方正仿宋_GBK"/>
          <w:kern w:val="0"/>
          <w:sz w:val="32"/>
          <w:szCs w:val="32"/>
        </w:rPr>
        <w:t>日至2025年</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24</w:t>
      </w:r>
      <w:r>
        <w:rPr>
          <w:rFonts w:hint="eastAsia" w:ascii="方正仿宋_GBK" w:hAnsi="方正仿宋_GBK" w:eastAsia="方正仿宋_GBK" w:cs="方正仿宋_GBK"/>
          <w:kern w:val="0"/>
          <w:sz w:val="32"/>
          <w:szCs w:val="32"/>
        </w:rPr>
        <w:t>日，在中垦华山牧乳业有限公司官网公开挂网下载（注：官网挂网链接以招标方届时公布为准）。</w:t>
      </w:r>
    </w:p>
    <w:p w14:paraId="0686FC30">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开标时间及地点</w:t>
      </w:r>
      <w:bookmarkStart w:id="8" w:name="_GoBack"/>
      <w:bookmarkEnd w:id="8"/>
    </w:p>
    <w:p w14:paraId="19427535">
      <w:pPr>
        <w:spacing w:line="580" w:lineRule="exact"/>
        <w:ind w:left="630"/>
        <w:rPr>
          <w:rFonts w:hint="default" w:ascii="方正仿宋_GBK" w:eastAsia="方正仿宋_GBK"/>
          <w:sz w:val="32"/>
          <w:szCs w:val="32"/>
          <w:lang w:val="en-US" w:eastAsia="zh-CN"/>
        </w:rPr>
      </w:pPr>
      <w:r>
        <w:rPr>
          <w:rFonts w:hint="eastAsia" w:ascii="方正仿宋_GBK" w:eastAsia="方正仿宋_GBK"/>
          <w:sz w:val="32"/>
          <w:szCs w:val="32"/>
        </w:rPr>
        <w:t>时间：2025年</w:t>
      </w:r>
      <w:r>
        <w:rPr>
          <w:rFonts w:hint="eastAsia" w:ascii="方正仿宋_GBK" w:eastAsia="方正仿宋_GBK"/>
          <w:sz w:val="32"/>
          <w:szCs w:val="32"/>
          <w:lang w:val="en-US" w:eastAsia="zh-CN"/>
        </w:rPr>
        <w:t>12</w:t>
      </w:r>
      <w:r>
        <w:rPr>
          <w:rFonts w:hint="eastAsia" w:ascii="方正仿宋_GBK" w:eastAsia="方正仿宋_GBK"/>
          <w:sz w:val="32"/>
          <w:szCs w:val="32"/>
        </w:rPr>
        <w:t>月</w:t>
      </w:r>
      <w:r>
        <w:rPr>
          <w:rFonts w:hint="eastAsia" w:ascii="方正仿宋_GBK" w:eastAsia="方正仿宋_GBK"/>
          <w:sz w:val="32"/>
          <w:szCs w:val="32"/>
          <w:lang w:val="en-US" w:eastAsia="zh-CN"/>
        </w:rPr>
        <w:t>25</w:t>
      </w:r>
      <w:r>
        <w:rPr>
          <w:rFonts w:hint="eastAsia" w:ascii="方正仿宋_GBK" w:eastAsia="方正仿宋_GBK"/>
          <w:sz w:val="32"/>
          <w:szCs w:val="32"/>
        </w:rPr>
        <w:t>日上午</w:t>
      </w:r>
      <w:r>
        <w:rPr>
          <w:rFonts w:hint="eastAsia" w:ascii="方正仿宋_GBK" w:eastAsia="方正仿宋_GBK"/>
          <w:sz w:val="32"/>
          <w:szCs w:val="32"/>
          <w:lang w:val="en-US" w:eastAsia="zh-CN"/>
        </w:rPr>
        <w:t>9</w:t>
      </w:r>
      <w:r>
        <w:rPr>
          <w:rFonts w:hint="eastAsia" w:ascii="方正仿宋_GBK" w:eastAsia="方正仿宋_GBK"/>
          <w:sz w:val="32"/>
          <w:szCs w:val="32"/>
        </w:rPr>
        <w:t>:</w:t>
      </w:r>
      <w:r>
        <w:rPr>
          <w:rFonts w:hint="eastAsia" w:ascii="方正仿宋_GBK" w:eastAsia="方正仿宋_GBK"/>
          <w:sz w:val="32"/>
          <w:szCs w:val="32"/>
          <w:lang w:val="en-US" w:eastAsia="zh-CN"/>
        </w:rPr>
        <w:t>00</w:t>
      </w:r>
    </w:p>
    <w:p w14:paraId="323278F3">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地点：中垦华山牧乳业有限公司研发中心二楼一号会议室（陕西省渭南市高新技术产业开发区中垦大道）</w:t>
      </w:r>
    </w:p>
    <w:p w14:paraId="2EB89580">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投标文件递交时间、地点、装订及密封要求</w:t>
      </w:r>
    </w:p>
    <w:p w14:paraId="75520E42">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（一）文件递交时间、地点：投标文件于2025年</w:t>
      </w:r>
      <w:r>
        <w:rPr>
          <w:rFonts w:hint="eastAsia" w:ascii="方正仿宋_GBK" w:hAnsi="方正仿宋_GBK" w:eastAsia="方正仿宋_GBK" w:cs="方正仿宋_GBK"/>
          <w:color w:val="000000"/>
          <w:sz w:val="32"/>
          <w:szCs w:val="32"/>
          <w:lang w:val="en-US" w:eastAsia="zh-CN"/>
        </w:rPr>
        <w:t>12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25</w:t>
      </w:r>
      <w:r>
        <w:rPr>
          <w:rFonts w:hint="eastAsia" w:ascii="方正仿宋_GBK" w:hAnsi="方正仿宋_GBK" w:eastAsia="方正仿宋_GBK" w:cs="方正仿宋_GBK"/>
          <w:color w:val="000000"/>
          <w:sz w:val="32"/>
          <w:szCs w:val="32"/>
        </w:rPr>
        <w:t>日上午</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00</w:t>
      </w:r>
      <w:r>
        <w:rPr>
          <w:rFonts w:hint="eastAsia" w:ascii="方正仿宋_GBK" w:hAnsi="方正仿宋_GBK" w:eastAsia="方正仿宋_GBK" w:cs="方正仿宋_GBK"/>
          <w:color w:val="000000"/>
          <w:sz w:val="32"/>
          <w:szCs w:val="32"/>
        </w:rPr>
        <w:t>前递交至中垦华山牧乳业有限公司综合办公室（冉海容收），逾期送达的或者未送达指定地点的投标文件，将不予受理。</w:t>
      </w:r>
    </w:p>
    <w:p w14:paraId="589BFF2C">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（二）投标文件装订及密封要求：投标文件格式参照第四部分；正副两本需密封胶印，每页加盖公章并盖骑缝章，用牛皮纸完全密封；封皮需注明比选项目名称及投标人名称，加盖投标人公章；第五部分</w:t>
      </w:r>
      <w:r>
        <w:rPr>
          <w:rFonts w:hint="eastAsia" w:ascii="方正仿宋_GBK" w:hAnsi="方正仿宋_GBK" w:eastAsia="方正仿宋_GBK" w:cs="方正仿宋_GBK"/>
          <w:color w:val="000000"/>
          <w:sz w:val="32"/>
          <w:szCs w:val="32"/>
          <w:lang w:val="en-US" w:eastAsia="zh-CN"/>
        </w:rPr>
        <w:t>合同草案</w:t>
      </w:r>
      <w:r>
        <w:rPr>
          <w:rFonts w:hint="eastAsia" w:ascii="方正仿宋_GBK" w:hAnsi="方正仿宋_GBK" w:eastAsia="方正仿宋_GBK" w:cs="方正仿宋_GBK"/>
          <w:color w:val="000000"/>
          <w:sz w:val="32"/>
          <w:szCs w:val="32"/>
        </w:rPr>
        <w:t>内容不体现在投标文件中。</w:t>
      </w:r>
    </w:p>
    <w:p w14:paraId="0FBBEF18">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投标人质疑招标文件的截止时间</w:t>
      </w:r>
    </w:p>
    <w:p w14:paraId="59CDE3D2">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请投标人认真阅读比选文件及合同草案，如投标人按时投标，视为接受比选文件要求以及合同条款，如投标人对比选文件或合同草案内容有疑问需要澄清时，请于2025年</w:t>
      </w:r>
      <w:r>
        <w:rPr>
          <w:rFonts w:hint="eastAsia" w:ascii="方正仿宋_GBK" w:hAnsi="方正仿宋_GBK" w:eastAsia="方正仿宋_GBK" w:cs="方正仿宋_GBK"/>
          <w:color w:val="000000"/>
          <w:sz w:val="32"/>
          <w:szCs w:val="32"/>
          <w:lang w:val="en-US" w:eastAsia="zh-CN"/>
        </w:rPr>
        <w:t>12</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25</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00</w:t>
      </w:r>
      <w:r>
        <w:rPr>
          <w:rFonts w:hint="eastAsia" w:ascii="方正仿宋_GBK" w:hAnsi="方正仿宋_GBK" w:eastAsia="方正仿宋_GBK" w:cs="方正仿宋_GBK"/>
          <w:color w:val="000000"/>
          <w:sz w:val="32"/>
          <w:szCs w:val="32"/>
        </w:rPr>
        <w:t>前致电0913-3108812咨询。</w:t>
      </w:r>
      <w:r>
        <w:rPr>
          <w:rFonts w:hint="eastAsia" w:ascii="方正仿宋_GBK" w:hAnsi="方正仿宋_GBK" w:eastAsia="方正仿宋_GBK" w:cs="方正仿宋_GBK"/>
          <w:color w:val="000000"/>
          <w:sz w:val="32"/>
          <w:szCs w:val="32"/>
        </w:rPr>
        <w:tab/>
      </w:r>
    </w:p>
    <w:p w14:paraId="0D752535">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联系方式</w:t>
      </w:r>
    </w:p>
    <w:p w14:paraId="7D6D6160">
      <w:pPr>
        <w:spacing w:line="610" w:lineRule="exact"/>
        <w:ind w:firstLine="640" w:firstLineChars="200"/>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申瑞  15191308053</w:t>
      </w:r>
    </w:p>
    <w:p w14:paraId="01D7888C">
      <w:pPr>
        <w:spacing w:line="61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冉海容  </w:t>
      </w:r>
      <w:r>
        <w:rPr>
          <w:rFonts w:hint="eastAsia" w:ascii="方正仿宋_GBK" w:hAnsi="方正仿宋_GBK" w:eastAsia="方正仿宋_GBK" w:cs="方正仿宋_GBK"/>
          <w:kern w:val="0"/>
          <w:sz w:val="32"/>
          <w:szCs w:val="32"/>
        </w:rPr>
        <w:t>0913-3108812     17738396881</w:t>
      </w:r>
    </w:p>
    <w:p w14:paraId="18796548">
      <w:pPr>
        <w:numPr>
          <w:ilvl w:val="0"/>
          <w:numId w:val="1"/>
        </w:numPr>
        <w:spacing w:line="61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投诉</w:t>
      </w:r>
    </w:p>
    <w:p w14:paraId="6148DAF7">
      <w:pPr>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投标人若有异议，可向招标人监督部门进行投诉。</w:t>
      </w:r>
    </w:p>
    <w:p w14:paraId="654A630D">
      <w:pPr>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kern w:val="0"/>
          <w:sz w:val="32"/>
          <w:szCs w:val="32"/>
        </w:rPr>
        <w:t>投诉电话：0913-3132888</w:t>
      </w:r>
    </w:p>
    <w:p w14:paraId="2CCF5915">
      <w:pPr>
        <w:spacing w:line="610" w:lineRule="exact"/>
        <w:jc w:val="center"/>
        <w:rPr>
          <w:rFonts w:ascii="方正仿宋_GBK" w:eastAsia="方正黑体_GBK"/>
          <w:sz w:val="32"/>
          <w:szCs w:val="32"/>
        </w:rPr>
      </w:pPr>
      <w:r>
        <w:rPr>
          <w:rFonts w:hint="eastAsia" w:ascii="方正黑体_GBK" w:hAnsi="方正黑体_GBK" w:eastAsia="方正黑体_GBK" w:cs="方正黑体_GBK"/>
          <w:sz w:val="32"/>
          <w:szCs w:val="32"/>
        </w:rPr>
        <w:t>第二部分：评分办法</w:t>
      </w:r>
    </w:p>
    <w:p w14:paraId="2D99E92B">
      <w:pPr>
        <w:spacing w:line="610" w:lineRule="exact"/>
        <w:ind w:firstLine="640" w:firstLineChars="200"/>
        <w:rPr>
          <w:rFonts w:ascii="方正仿宋_GBK" w:eastAsia="方正仿宋_GBK"/>
          <w:sz w:val="32"/>
          <w:szCs w:val="32"/>
        </w:rPr>
      </w:pPr>
    </w:p>
    <w:p w14:paraId="793B1B17">
      <w:pPr>
        <w:numPr>
          <w:ilvl w:val="0"/>
          <w:numId w:val="4"/>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评标方法和标准</w:t>
      </w:r>
    </w:p>
    <w:p w14:paraId="3F88583A">
      <w:pPr>
        <w:spacing w:line="610" w:lineRule="exact"/>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kern w:val="0"/>
          <w:sz w:val="32"/>
          <w:szCs w:val="32"/>
        </w:rPr>
        <w:t>参照中垦华山牧乳业有限公司《采购管理办法》（中垦华山牧乳文〔2025〕36号），</w:t>
      </w:r>
      <w:r>
        <w:rPr>
          <w:rFonts w:hint="eastAsia" w:ascii="方正仿宋_GBK" w:eastAsia="方正仿宋_GBK"/>
          <w:sz w:val="32"/>
          <w:szCs w:val="32"/>
        </w:rPr>
        <w:t>采用低价评分法评标，评审专家将依据投标人提交的比选响应文件，对各项评标项目进行比较和评审。通过阅读投标文件，汇总各项评标项目分值，推荐中标人。</w:t>
      </w:r>
    </w:p>
    <w:p w14:paraId="1302BAB2">
      <w:pPr>
        <w:numPr>
          <w:ilvl w:val="0"/>
          <w:numId w:val="4"/>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评分细则</w:t>
      </w:r>
    </w:p>
    <w:tbl>
      <w:tblPr>
        <w:tblStyle w:val="10"/>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972"/>
        <w:gridCol w:w="1833"/>
        <w:gridCol w:w="5063"/>
      </w:tblGrid>
      <w:tr w14:paraId="63FB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shd w:val="clear" w:color="auto" w:fill="002060"/>
            <w:vAlign w:val="center"/>
          </w:tcPr>
          <w:p w14:paraId="6318E38B">
            <w:pPr>
              <w:spacing w:line="400" w:lineRule="exact"/>
              <w:jc w:val="center"/>
              <w:rPr>
                <w:rFonts w:ascii="宋体" w:hAnsi="宋体" w:cs="宋体"/>
                <w:b/>
                <w:sz w:val="24"/>
                <w:szCs w:val="24"/>
              </w:rPr>
            </w:pPr>
            <w:r>
              <w:rPr>
                <w:rFonts w:hint="eastAsia" w:ascii="宋体" w:hAnsi="宋体" w:cs="宋体"/>
                <w:b/>
                <w:sz w:val="24"/>
                <w:szCs w:val="24"/>
              </w:rPr>
              <w:t>评分因素及权重</w:t>
            </w:r>
          </w:p>
        </w:tc>
        <w:tc>
          <w:tcPr>
            <w:tcW w:w="972" w:type="dxa"/>
            <w:shd w:val="clear" w:color="auto" w:fill="002060"/>
            <w:vAlign w:val="center"/>
          </w:tcPr>
          <w:p w14:paraId="61E07D4B">
            <w:pPr>
              <w:spacing w:line="400" w:lineRule="exact"/>
              <w:jc w:val="center"/>
              <w:rPr>
                <w:rFonts w:ascii="宋体" w:hAnsi="宋体" w:cs="宋体"/>
                <w:b/>
                <w:sz w:val="24"/>
                <w:szCs w:val="24"/>
              </w:rPr>
            </w:pPr>
            <w:r>
              <w:rPr>
                <w:rFonts w:hint="eastAsia" w:ascii="宋体" w:hAnsi="宋体" w:cs="宋体"/>
                <w:b/>
                <w:sz w:val="24"/>
                <w:szCs w:val="24"/>
              </w:rPr>
              <w:t>分值</w:t>
            </w:r>
          </w:p>
        </w:tc>
        <w:tc>
          <w:tcPr>
            <w:tcW w:w="6896" w:type="dxa"/>
            <w:gridSpan w:val="2"/>
            <w:shd w:val="clear" w:color="auto" w:fill="002060"/>
            <w:vAlign w:val="center"/>
          </w:tcPr>
          <w:p w14:paraId="5B983184">
            <w:pPr>
              <w:spacing w:line="400" w:lineRule="exact"/>
              <w:jc w:val="center"/>
              <w:rPr>
                <w:b/>
                <w:sz w:val="24"/>
                <w:szCs w:val="24"/>
              </w:rPr>
            </w:pPr>
            <w:r>
              <w:rPr>
                <w:rFonts w:hint="eastAsia" w:ascii="宋体" w:hAnsi="宋体" w:cs="宋体"/>
                <w:b/>
                <w:sz w:val="24"/>
                <w:szCs w:val="24"/>
              </w:rPr>
              <w:t>评分标准</w:t>
            </w:r>
          </w:p>
        </w:tc>
      </w:tr>
      <w:tr w14:paraId="5495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Align w:val="center"/>
          </w:tcPr>
          <w:p w14:paraId="56B18952">
            <w:pPr>
              <w:spacing w:line="400" w:lineRule="exact"/>
              <w:jc w:val="center"/>
              <w:rPr>
                <w:rFonts w:ascii="宋体" w:hAnsi="宋体" w:cs="宋体"/>
                <w:sz w:val="18"/>
                <w:szCs w:val="18"/>
              </w:rPr>
            </w:pPr>
            <w:r>
              <w:rPr>
                <w:rFonts w:hint="eastAsia" w:ascii="宋体" w:hAnsi="宋体" w:cs="宋体"/>
                <w:sz w:val="18"/>
                <w:szCs w:val="18"/>
              </w:rPr>
              <w:t>报价部分</w:t>
            </w:r>
          </w:p>
          <w:p w14:paraId="6C7B15EA">
            <w:pPr>
              <w:spacing w:line="40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8</w:t>
            </w:r>
            <w:r>
              <w:rPr>
                <w:rFonts w:hint="eastAsia" w:ascii="宋体" w:hAnsi="宋体" w:cs="宋体"/>
                <w:sz w:val="18"/>
                <w:szCs w:val="18"/>
              </w:rPr>
              <w:t>0%）</w:t>
            </w:r>
          </w:p>
        </w:tc>
        <w:tc>
          <w:tcPr>
            <w:tcW w:w="972" w:type="dxa"/>
            <w:vAlign w:val="center"/>
          </w:tcPr>
          <w:p w14:paraId="0F6235D6">
            <w:pPr>
              <w:spacing w:line="400" w:lineRule="exact"/>
              <w:jc w:val="center"/>
              <w:rPr>
                <w:rFonts w:ascii="宋体" w:hAnsi="宋体" w:cs="宋体"/>
                <w:bCs/>
                <w:sz w:val="18"/>
                <w:szCs w:val="18"/>
              </w:rPr>
            </w:pPr>
            <w:r>
              <w:rPr>
                <w:rFonts w:hint="eastAsia" w:ascii="宋体" w:hAnsi="宋体" w:cs="宋体"/>
                <w:bCs/>
                <w:sz w:val="18"/>
                <w:szCs w:val="18"/>
                <w:lang w:val="en-US" w:eastAsia="zh-CN"/>
              </w:rPr>
              <w:t>8</w:t>
            </w:r>
            <w:r>
              <w:rPr>
                <w:rFonts w:hint="eastAsia" w:ascii="宋体" w:hAnsi="宋体" w:cs="宋体"/>
                <w:bCs/>
                <w:sz w:val="18"/>
                <w:szCs w:val="18"/>
              </w:rPr>
              <w:t>0分</w:t>
            </w:r>
          </w:p>
        </w:tc>
        <w:tc>
          <w:tcPr>
            <w:tcW w:w="6896" w:type="dxa"/>
            <w:gridSpan w:val="2"/>
          </w:tcPr>
          <w:p w14:paraId="2BC6E85E">
            <w:pPr>
              <w:spacing w:line="400" w:lineRule="exact"/>
              <w:ind w:right="-865" w:rightChars="-412"/>
              <w:rPr>
                <w:rFonts w:ascii="Segoe UI" w:hAnsi="Segoe UI" w:eastAsia="Segoe UI" w:cs="Segoe UI"/>
                <w:color w:val="1F2328"/>
                <w:sz w:val="19"/>
                <w:szCs w:val="19"/>
                <w:shd w:val="clear" w:color="auto" w:fill="FFFFFF"/>
              </w:rPr>
            </w:pPr>
            <w:r>
              <w:rPr>
                <w:rFonts w:hint="eastAsia" w:ascii="宋体" w:hAnsi="宋体"/>
                <w:color w:val="000000"/>
                <w:sz w:val="18"/>
                <w:szCs w:val="18"/>
              </w:rPr>
              <w:t>报价分采用低价优先法计算，</w:t>
            </w:r>
            <w:r>
              <w:rPr>
                <w:rFonts w:ascii="Segoe UI" w:hAnsi="Segoe UI" w:eastAsia="Segoe UI" w:cs="Segoe UI"/>
                <w:color w:val="1F2328"/>
                <w:sz w:val="19"/>
                <w:szCs w:val="19"/>
                <w:shd w:val="clear" w:color="auto" w:fill="FFFFFF"/>
              </w:rPr>
              <w:t>以满足公开比选要求且投标最低的报价为评标基准</w:t>
            </w:r>
          </w:p>
          <w:p w14:paraId="59C16A78">
            <w:pPr>
              <w:spacing w:line="400" w:lineRule="exact"/>
              <w:ind w:right="-865" w:rightChars="-412"/>
              <w:rPr>
                <w:rFonts w:ascii="宋体" w:hAnsi="宋体"/>
                <w:color w:val="000000"/>
                <w:sz w:val="18"/>
                <w:szCs w:val="18"/>
              </w:rPr>
            </w:pPr>
            <w:r>
              <w:rPr>
                <w:rFonts w:ascii="Segoe UI" w:hAnsi="Segoe UI" w:eastAsia="Segoe UI" w:cs="Segoe UI"/>
                <w:color w:val="1F2328"/>
                <w:sz w:val="19"/>
                <w:szCs w:val="19"/>
                <w:shd w:val="clear" w:color="auto" w:fill="FFFFFF"/>
              </w:rPr>
              <w:t>价</w:t>
            </w:r>
            <w:r>
              <w:rPr>
                <w:rFonts w:hint="eastAsia" w:ascii="宋体" w:hAnsi="宋体"/>
                <w:color w:val="000000"/>
                <w:sz w:val="18"/>
                <w:szCs w:val="18"/>
              </w:rPr>
              <w:t>，其价格分为</w:t>
            </w:r>
            <w:r>
              <w:rPr>
                <w:rFonts w:hint="eastAsia" w:ascii="宋体" w:hAnsi="宋体"/>
                <w:color w:val="000000"/>
                <w:sz w:val="18"/>
                <w:szCs w:val="18"/>
                <w:lang w:val="en-US" w:eastAsia="zh-CN"/>
              </w:rPr>
              <w:t>8</w:t>
            </w:r>
            <w:r>
              <w:rPr>
                <w:rFonts w:hint="eastAsia" w:ascii="宋体" w:hAnsi="宋体"/>
                <w:color w:val="000000"/>
                <w:sz w:val="18"/>
                <w:szCs w:val="18"/>
              </w:rPr>
              <w:t>0分。其他投标人的报价分统一按照下列公式计算：</w:t>
            </w:r>
          </w:p>
          <w:p w14:paraId="0A98F961">
            <w:pPr>
              <w:spacing w:line="400" w:lineRule="exact"/>
              <w:ind w:right="-865" w:rightChars="-412"/>
              <w:rPr>
                <w:rFonts w:ascii="宋体" w:hAnsi="宋体" w:cs="宋体"/>
                <w:sz w:val="18"/>
                <w:szCs w:val="18"/>
              </w:rPr>
            </w:pPr>
            <w:r>
              <w:rPr>
                <w:rFonts w:hint="eastAsia" w:ascii="宋体" w:hAnsi="宋体"/>
                <w:color w:val="000000"/>
                <w:sz w:val="18"/>
                <w:szCs w:val="18"/>
              </w:rPr>
              <w:t>报价得分＝（评标基准价／投标报价）×</w:t>
            </w:r>
            <w:r>
              <w:rPr>
                <w:rFonts w:hint="eastAsia" w:ascii="宋体" w:hAnsi="宋体"/>
                <w:color w:val="000000"/>
                <w:sz w:val="18"/>
                <w:szCs w:val="18"/>
                <w:lang w:val="en-US" w:eastAsia="zh-CN"/>
              </w:rPr>
              <w:t>8</w:t>
            </w:r>
            <w:r>
              <w:rPr>
                <w:rFonts w:hint="eastAsia" w:ascii="宋体" w:hAnsi="宋体"/>
                <w:color w:val="000000"/>
                <w:sz w:val="18"/>
                <w:szCs w:val="18"/>
              </w:rPr>
              <w:t>0。</w:t>
            </w:r>
          </w:p>
        </w:tc>
      </w:tr>
      <w:tr w14:paraId="7A5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819" w:type="dxa"/>
            <w:vMerge w:val="restart"/>
            <w:vAlign w:val="center"/>
          </w:tcPr>
          <w:p w14:paraId="6C93BB49">
            <w:pPr>
              <w:spacing w:line="400" w:lineRule="exact"/>
              <w:jc w:val="center"/>
              <w:rPr>
                <w:rFonts w:ascii="宋体" w:hAnsi="宋体" w:cs="宋体"/>
                <w:sz w:val="18"/>
                <w:szCs w:val="18"/>
              </w:rPr>
            </w:pPr>
            <w:r>
              <w:rPr>
                <w:rFonts w:hint="eastAsia" w:ascii="宋体" w:hAnsi="宋体" w:cs="宋体"/>
                <w:sz w:val="18"/>
                <w:szCs w:val="18"/>
              </w:rPr>
              <w:t>商务部分</w:t>
            </w:r>
          </w:p>
          <w:p w14:paraId="7C50078B">
            <w:pPr>
              <w:spacing w:line="40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0%）</w:t>
            </w:r>
          </w:p>
        </w:tc>
        <w:tc>
          <w:tcPr>
            <w:tcW w:w="972" w:type="dxa"/>
            <w:vMerge w:val="restart"/>
            <w:vAlign w:val="center"/>
          </w:tcPr>
          <w:p w14:paraId="2756E2AE">
            <w:pPr>
              <w:spacing w:line="400" w:lineRule="exact"/>
              <w:jc w:val="center"/>
              <w:rPr>
                <w:rFonts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0分</w:t>
            </w:r>
          </w:p>
          <w:p w14:paraId="3E3828A4">
            <w:pPr>
              <w:spacing w:line="400" w:lineRule="exact"/>
              <w:jc w:val="center"/>
              <w:rPr>
                <w:rFonts w:ascii="宋体" w:hAnsi="宋体" w:cs="宋体"/>
                <w:bCs/>
                <w:sz w:val="18"/>
                <w:szCs w:val="18"/>
              </w:rPr>
            </w:pPr>
          </w:p>
        </w:tc>
        <w:tc>
          <w:tcPr>
            <w:tcW w:w="1833" w:type="dxa"/>
            <w:vAlign w:val="center"/>
          </w:tcPr>
          <w:p w14:paraId="2561BAC2">
            <w:pPr>
              <w:spacing w:line="460" w:lineRule="exact"/>
              <w:jc w:val="center"/>
              <w:rPr>
                <w:rFonts w:ascii="宋体" w:hAnsi="宋体" w:cs="宋体"/>
                <w:sz w:val="18"/>
                <w:szCs w:val="18"/>
              </w:rPr>
            </w:pPr>
            <w:r>
              <w:rPr>
                <w:rFonts w:hint="eastAsia" w:ascii="宋体" w:hAnsi="宋体" w:cs="宋体"/>
                <w:sz w:val="18"/>
                <w:szCs w:val="18"/>
              </w:rPr>
              <w:t>综合实力（</w:t>
            </w:r>
            <w:r>
              <w:rPr>
                <w:rFonts w:hint="eastAsia" w:ascii="宋体" w:hAnsi="宋体" w:cs="宋体"/>
                <w:sz w:val="18"/>
                <w:szCs w:val="18"/>
                <w:lang w:val="en-US" w:eastAsia="zh-CN"/>
              </w:rPr>
              <w:t>5</w:t>
            </w:r>
            <w:r>
              <w:rPr>
                <w:rFonts w:hint="eastAsia" w:ascii="宋体" w:hAnsi="宋体" w:cs="宋体"/>
                <w:sz w:val="18"/>
                <w:szCs w:val="18"/>
              </w:rPr>
              <w:t>分）</w:t>
            </w:r>
          </w:p>
        </w:tc>
        <w:tc>
          <w:tcPr>
            <w:tcW w:w="5063" w:type="dxa"/>
          </w:tcPr>
          <w:p w14:paraId="0AA45D98">
            <w:pPr>
              <w:spacing w:line="400" w:lineRule="exact"/>
              <w:rPr>
                <w:rFonts w:hint="eastAsia" w:ascii="宋体" w:hAnsi="宋体" w:cs="宋体"/>
                <w:sz w:val="18"/>
                <w:szCs w:val="18"/>
              </w:rPr>
            </w:pPr>
            <w:r>
              <w:rPr>
                <w:rFonts w:hint="eastAsia" w:ascii="宋体" w:hAnsi="宋体" w:cs="宋体"/>
                <w:sz w:val="18"/>
                <w:szCs w:val="18"/>
              </w:rPr>
              <w:t>经营情况：每提供一项，根据提供资料准确性给予评分。</w:t>
            </w:r>
          </w:p>
          <w:p w14:paraId="4E3E6F4A">
            <w:pPr>
              <w:spacing w:line="400" w:lineRule="exact"/>
              <w:rPr>
                <w:rFonts w:ascii="宋体" w:hAnsi="宋体" w:cs="宋体"/>
                <w:sz w:val="18"/>
                <w:szCs w:val="18"/>
              </w:rPr>
            </w:pPr>
            <w:r>
              <w:rPr>
                <w:rFonts w:hint="eastAsia" w:ascii="宋体" w:hAnsi="宋体" w:cs="宋体"/>
                <w:sz w:val="18"/>
                <w:szCs w:val="18"/>
              </w:rPr>
              <w:t>经营业绩证明（提供2020年至今劳务合作合同&lt;主要页面&gt;，每提供1家公司得</w:t>
            </w:r>
            <w:r>
              <w:rPr>
                <w:rFonts w:hint="eastAsia" w:ascii="宋体" w:hAnsi="宋体" w:cs="宋体"/>
                <w:sz w:val="18"/>
                <w:szCs w:val="18"/>
                <w:lang w:val="en-US" w:eastAsia="zh-CN"/>
              </w:rPr>
              <w:t>1</w:t>
            </w:r>
            <w:r>
              <w:rPr>
                <w:rFonts w:hint="eastAsia" w:ascii="宋体" w:hAnsi="宋体" w:cs="宋体"/>
                <w:sz w:val="18"/>
                <w:szCs w:val="18"/>
              </w:rPr>
              <w:t>分，最多</w:t>
            </w:r>
            <w:r>
              <w:rPr>
                <w:rFonts w:hint="eastAsia" w:ascii="宋体" w:hAnsi="宋体" w:cs="宋体"/>
                <w:sz w:val="18"/>
                <w:szCs w:val="18"/>
                <w:lang w:val="en-US" w:eastAsia="zh-CN"/>
              </w:rPr>
              <w:t>5</w:t>
            </w:r>
            <w:r>
              <w:rPr>
                <w:rFonts w:hint="eastAsia" w:ascii="宋体" w:hAnsi="宋体" w:cs="宋体"/>
                <w:sz w:val="18"/>
                <w:szCs w:val="18"/>
              </w:rPr>
              <w:t>分）；</w:t>
            </w:r>
          </w:p>
        </w:tc>
      </w:tr>
      <w:tr w14:paraId="1866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19" w:type="dxa"/>
            <w:vMerge w:val="continue"/>
          </w:tcPr>
          <w:p w14:paraId="4005FBF6">
            <w:pPr>
              <w:spacing w:line="400" w:lineRule="exact"/>
              <w:rPr>
                <w:rFonts w:ascii="宋体" w:hAnsi="宋体" w:cs="宋体"/>
                <w:sz w:val="18"/>
                <w:szCs w:val="18"/>
              </w:rPr>
            </w:pPr>
          </w:p>
        </w:tc>
        <w:tc>
          <w:tcPr>
            <w:tcW w:w="972" w:type="dxa"/>
            <w:vMerge w:val="continue"/>
          </w:tcPr>
          <w:p w14:paraId="19A24E12">
            <w:pPr>
              <w:spacing w:line="400" w:lineRule="exact"/>
              <w:rPr>
                <w:rFonts w:ascii="宋体" w:hAnsi="宋体" w:cs="宋体"/>
                <w:b/>
                <w:sz w:val="18"/>
                <w:szCs w:val="18"/>
              </w:rPr>
            </w:pPr>
          </w:p>
        </w:tc>
        <w:tc>
          <w:tcPr>
            <w:tcW w:w="1833" w:type="dxa"/>
            <w:vAlign w:val="center"/>
          </w:tcPr>
          <w:p w14:paraId="39E70BCF">
            <w:pPr>
              <w:spacing w:line="460" w:lineRule="exact"/>
              <w:jc w:val="center"/>
              <w:rPr>
                <w:rFonts w:ascii="宋体" w:hAnsi="宋体" w:cs="宋体"/>
                <w:sz w:val="18"/>
                <w:szCs w:val="18"/>
              </w:rPr>
            </w:pPr>
            <w:r>
              <w:rPr>
                <w:rFonts w:ascii="Segoe UI" w:hAnsi="Segoe UI" w:eastAsia="Segoe UI" w:cs="Segoe UI"/>
                <w:color w:val="1F2328"/>
                <w:sz w:val="19"/>
                <w:szCs w:val="19"/>
                <w:shd w:val="clear" w:color="auto" w:fill="FFFFFF"/>
              </w:rPr>
              <w:t>快消品企业合作经验</w:t>
            </w:r>
            <w:r>
              <w:rPr>
                <w:rFonts w:hint="eastAsia" w:ascii="宋体" w:hAnsi="宋体" w:cs="宋体"/>
                <w:sz w:val="18"/>
                <w:szCs w:val="18"/>
              </w:rPr>
              <w:t>（</w:t>
            </w:r>
            <w:r>
              <w:rPr>
                <w:rFonts w:hint="eastAsia" w:ascii="宋体" w:hAnsi="宋体" w:cs="宋体"/>
                <w:sz w:val="18"/>
                <w:szCs w:val="18"/>
                <w:lang w:val="en-US" w:eastAsia="zh-CN"/>
              </w:rPr>
              <w:t>5</w:t>
            </w:r>
            <w:r>
              <w:rPr>
                <w:rFonts w:hint="eastAsia" w:ascii="宋体" w:hAnsi="宋体" w:cs="宋体"/>
                <w:sz w:val="18"/>
                <w:szCs w:val="18"/>
              </w:rPr>
              <w:t>分）</w:t>
            </w:r>
          </w:p>
        </w:tc>
        <w:tc>
          <w:tcPr>
            <w:tcW w:w="5063" w:type="dxa"/>
          </w:tcPr>
          <w:p w14:paraId="1743BA3E">
            <w:pPr>
              <w:tabs>
                <w:tab w:val="left" w:pos="360"/>
              </w:tabs>
              <w:spacing w:line="400" w:lineRule="exact"/>
              <w:rPr>
                <w:rFonts w:ascii="宋体" w:hAnsi="宋体" w:cs="宋体"/>
                <w:color w:val="000000"/>
                <w:sz w:val="18"/>
                <w:szCs w:val="18"/>
              </w:rPr>
            </w:pPr>
            <w:r>
              <w:rPr>
                <w:rFonts w:hint="eastAsia" w:ascii="宋体" w:hAnsi="宋体" w:cs="宋体"/>
                <w:sz w:val="18"/>
                <w:szCs w:val="18"/>
              </w:rPr>
              <w:t>提供合作证明文件（如合同主要页面，需包含双方公司名称、合作主题、签署日期、盖章页等核心页面，可隐去敏感信息如金额、商业机密），每提供1家公司得</w:t>
            </w:r>
            <w:r>
              <w:rPr>
                <w:rFonts w:hint="eastAsia" w:ascii="宋体" w:hAnsi="宋体" w:cs="宋体"/>
                <w:sz w:val="18"/>
                <w:szCs w:val="18"/>
                <w:lang w:val="en-US" w:eastAsia="zh-CN"/>
              </w:rPr>
              <w:t>1</w:t>
            </w:r>
            <w:r>
              <w:rPr>
                <w:rFonts w:hint="eastAsia" w:ascii="宋体" w:hAnsi="宋体" w:cs="宋体"/>
                <w:sz w:val="18"/>
                <w:szCs w:val="18"/>
              </w:rPr>
              <w:t>分，最多</w:t>
            </w:r>
            <w:r>
              <w:rPr>
                <w:rFonts w:hint="eastAsia" w:ascii="宋体" w:hAnsi="宋体" w:cs="宋体"/>
                <w:sz w:val="18"/>
                <w:szCs w:val="18"/>
                <w:lang w:val="en-US" w:eastAsia="zh-CN"/>
              </w:rPr>
              <w:t>5</w:t>
            </w:r>
            <w:r>
              <w:rPr>
                <w:rFonts w:hint="eastAsia" w:ascii="宋体" w:hAnsi="宋体" w:cs="宋体"/>
                <w:sz w:val="18"/>
                <w:szCs w:val="18"/>
              </w:rPr>
              <w:t>分。</w:t>
            </w:r>
          </w:p>
        </w:tc>
      </w:tr>
      <w:tr w14:paraId="301D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19" w:type="dxa"/>
            <w:vMerge w:val="continue"/>
          </w:tcPr>
          <w:p w14:paraId="37671198">
            <w:pPr>
              <w:spacing w:line="400" w:lineRule="exact"/>
              <w:rPr>
                <w:rFonts w:ascii="宋体" w:hAnsi="宋体" w:cs="宋体"/>
                <w:b/>
                <w:sz w:val="18"/>
                <w:szCs w:val="18"/>
              </w:rPr>
            </w:pPr>
          </w:p>
        </w:tc>
        <w:tc>
          <w:tcPr>
            <w:tcW w:w="972" w:type="dxa"/>
            <w:vMerge w:val="continue"/>
          </w:tcPr>
          <w:p w14:paraId="797898CF">
            <w:pPr>
              <w:spacing w:line="400" w:lineRule="exact"/>
              <w:rPr>
                <w:rFonts w:ascii="宋体" w:hAnsi="宋体" w:cs="宋体"/>
                <w:b/>
                <w:sz w:val="18"/>
                <w:szCs w:val="18"/>
              </w:rPr>
            </w:pPr>
          </w:p>
        </w:tc>
        <w:tc>
          <w:tcPr>
            <w:tcW w:w="1833" w:type="dxa"/>
            <w:vAlign w:val="center"/>
          </w:tcPr>
          <w:p w14:paraId="75719EF5">
            <w:pPr>
              <w:spacing w:line="460" w:lineRule="exact"/>
              <w:jc w:val="center"/>
              <w:rPr>
                <w:rFonts w:ascii="宋体" w:hAnsi="宋体" w:cs="宋体"/>
                <w:sz w:val="18"/>
                <w:szCs w:val="18"/>
              </w:rPr>
            </w:pPr>
            <w:r>
              <w:rPr>
                <w:rFonts w:hint="eastAsia" w:ascii="宋体" w:hAnsi="宋体" w:cs="宋体"/>
                <w:sz w:val="18"/>
                <w:szCs w:val="18"/>
              </w:rPr>
              <w:t>劳务人员</w:t>
            </w:r>
            <w:r>
              <w:rPr>
                <w:rFonts w:hint="eastAsia" w:ascii="宋体" w:hAnsi="宋体" w:cs="宋体"/>
                <w:sz w:val="18"/>
                <w:szCs w:val="18"/>
                <w:lang w:val="en-US" w:eastAsia="zh-CN"/>
              </w:rPr>
              <w:t>社保缴纳情况</w:t>
            </w:r>
            <w:r>
              <w:rPr>
                <w:rFonts w:hint="eastAsia" w:ascii="宋体" w:hAnsi="宋体" w:cs="宋体"/>
                <w:sz w:val="18"/>
                <w:szCs w:val="18"/>
              </w:rPr>
              <w:t>（</w:t>
            </w:r>
            <w:r>
              <w:rPr>
                <w:rFonts w:hint="eastAsia" w:ascii="宋体" w:hAnsi="宋体" w:cs="宋体"/>
                <w:sz w:val="18"/>
                <w:szCs w:val="18"/>
                <w:lang w:val="en-US" w:eastAsia="zh-CN"/>
              </w:rPr>
              <w:t>2</w:t>
            </w:r>
            <w:r>
              <w:rPr>
                <w:rFonts w:hint="eastAsia" w:ascii="宋体" w:hAnsi="宋体" w:cs="宋体"/>
                <w:sz w:val="18"/>
                <w:szCs w:val="18"/>
              </w:rPr>
              <w:t>分）</w:t>
            </w:r>
          </w:p>
        </w:tc>
        <w:tc>
          <w:tcPr>
            <w:tcW w:w="5063" w:type="dxa"/>
          </w:tcPr>
          <w:p w14:paraId="12E901C0">
            <w:pPr>
              <w:tabs>
                <w:tab w:val="left" w:pos="360"/>
              </w:tabs>
              <w:spacing w:line="400" w:lineRule="exact"/>
              <w:rPr>
                <w:rFonts w:ascii="宋体" w:hAnsi="宋体" w:cs="宋体"/>
                <w:sz w:val="18"/>
                <w:szCs w:val="18"/>
              </w:rPr>
            </w:pPr>
            <w:r>
              <w:rPr>
                <w:rFonts w:hint="eastAsia" w:ascii="宋体" w:hAnsi="宋体" w:cs="宋体"/>
                <w:sz w:val="18"/>
                <w:szCs w:val="18"/>
              </w:rPr>
              <w:t>提供最近一季度社保缴纳记录或第三方机构出具的人员统计报告，或者其他有效的第三方证明，未出具有效证明不得分。</w:t>
            </w:r>
          </w:p>
        </w:tc>
      </w:tr>
      <w:tr w14:paraId="7E15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Merge w:val="continue"/>
          </w:tcPr>
          <w:p w14:paraId="4DF5D01B">
            <w:pPr>
              <w:spacing w:line="400" w:lineRule="exact"/>
              <w:rPr>
                <w:rFonts w:ascii="宋体" w:hAnsi="宋体" w:cs="宋体"/>
                <w:sz w:val="18"/>
                <w:szCs w:val="18"/>
              </w:rPr>
            </w:pPr>
          </w:p>
        </w:tc>
        <w:tc>
          <w:tcPr>
            <w:tcW w:w="972" w:type="dxa"/>
            <w:vMerge w:val="continue"/>
          </w:tcPr>
          <w:p w14:paraId="755CA7A2">
            <w:pPr>
              <w:spacing w:line="400" w:lineRule="exact"/>
              <w:rPr>
                <w:rFonts w:ascii="宋体" w:hAnsi="宋体" w:cs="宋体"/>
                <w:b/>
                <w:sz w:val="18"/>
                <w:szCs w:val="18"/>
              </w:rPr>
            </w:pPr>
          </w:p>
        </w:tc>
        <w:tc>
          <w:tcPr>
            <w:tcW w:w="1833" w:type="dxa"/>
            <w:vAlign w:val="center"/>
          </w:tcPr>
          <w:p w14:paraId="0B652256">
            <w:pPr>
              <w:spacing w:line="400" w:lineRule="exact"/>
              <w:jc w:val="center"/>
              <w:rPr>
                <w:rFonts w:ascii="宋体" w:hAnsi="宋体" w:cs="宋体"/>
                <w:sz w:val="18"/>
                <w:szCs w:val="18"/>
              </w:rPr>
            </w:pPr>
            <w:r>
              <w:rPr>
                <w:rFonts w:hint="eastAsia" w:ascii="宋体" w:hAnsi="宋体" w:cs="宋体"/>
                <w:sz w:val="18"/>
                <w:szCs w:val="18"/>
              </w:rPr>
              <w:t>进驻工作现场的及时性（</w:t>
            </w:r>
            <w:r>
              <w:rPr>
                <w:rFonts w:hint="eastAsia" w:ascii="宋体" w:hAnsi="宋体" w:cs="宋体"/>
                <w:sz w:val="18"/>
                <w:szCs w:val="18"/>
                <w:lang w:val="en-US" w:eastAsia="zh-CN"/>
              </w:rPr>
              <w:t>3</w:t>
            </w:r>
            <w:r>
              <w:rPr>
                <w:rFonts w:hint="eastAsia" w:ascii="宋体" w:hAnsi="宋体" w:cs="宋体"/>
                <w:sz w:val="18"/>
                <w:szCs w:val="18"/>
              </w:rPr>
              <w:t>分）</w:t>
            </w:r>
          </w:p>
        </w:tc>
        <w:tc>
          <w:tcPr>
            <w:tcW w:w="5063" w:type="dxa"/>
          </w:tcPr>
          <w:p w14:paraId="71EA063E">
            <w:pPr>
              <w:spacing w:line="400" w:lineRule="exact"/>
              <w:rPr>
                <w:rFonts w:ascii="宋体" w:hAnsi="宋体" w:cs="宋体"/>
                <w:sz w:val="18"/>
                <w:szCs w:val="18"/>
              </w:rPr>
            </w:pPr>
            <w:r>
              <w:rPr>
                <w:rFonts w:hint="eastAsia" w:ascii="宋体" w:hAnsi="宋体" w:cs="宋体"/>
                <w:sz w:val="18"/>
                <w:szCs w:val="18"/>
              </w:rPr>
              <w:t>需单独提交《投标承诺书》：合同签订日起5个工作日内进驻现场并正式接手工作，得</w:t>
            </w:r>
            <w:r>
              <w:rPr>
                <w:rFonts w:hint="eastAsia" w:ascii="宋体" w:hAnsi="宋体" w:cs="宋体"/>
                <w:sz w:val="18"/>
                <w:szCs w:val="18"/>
                <w:lang w:val="en-US" w:eastAsia="zh-CN"/>
              </w:rPr>
              <w:t>3</w:t>
            </w:r>
            <w:r>
              <w:rPr>
                <w:rFonts w:hint="eastAsia" w:ascii="宋体" w:hAnsi="宋体" w:cs="宋体"/>
                <w:sz w:val="18"/>
                <w:szCs w:val="18"/>
              </w:rPr>
              <w:t>分；5-10个工作日内进驻，得</w:t>
            </w:r>
            <w:r>
              <w:rPr>
                <w:rFonts w:hint="eastAsia" w:ascii="宋体" w:hAnsi="宋体" w:cs="宋体"/>
                <w:sz w:val="18"/>
                <w:szCs w:val="18"/>
                <w:lang w:val="en-US" w:eastAsia="zh-CN"/>
              </w:rPr>
              <w:t>1</w:t>
            </w:r>
            <w:r>
              <w:rPr>
                <w:rFonts w:hint="eastAsia" w:ascii="宋体" w:hAnsi="宋体" w:cs="宋体"/>
                <w:sz w:val="18"/>
                <w:szCs w:val="18"/>
              </w:rPr>
              <w:t>分，10个工作日以上不得分；（若中标方超过10个工作日仍无法按照要求开展工作，招标人有权终止合同，且2年以内不接受该中标单位参与本公司外包项目投标）。</w:t>
            </w:r>
          </w:p>
        </w:tc>
      </w:tr>
      <w:tr w14:paraId="3B97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Merge w:val="continue"/>
          </w:tcPr>
          <w:p w14:paraId="3A7571B3">
            <w:pPr>
              <w:spacing w:line="400" w:lineRule="exact"/>
              <w:rPr>
                <w:rFonts w:ascii="宋体" w:hAnsi="宋体" w:cs="宋体"/>
                <w:sz w:val="18"/>
                <w:szCs w:val="18"/>
              </w:rPr>
            </w:pPr>
          </w:p>
        </w:tc>
        <w:tc>
          <w:tcPr>
            <w:tcW w:w="972" w:type="dxa"/>
            <w:vMerge w:val="continue"/>
          </w:tcPr>
          <w:p w14:paraId="4186FE5B">
            <w:pPr>
              <w:spacing w:line="400" w:lineRule="exact"/>
              <w:rPr>
                <w:rFonts w:ascii="宋体" w:hAnsi="宋体" w:cs="宋体"/>
                <w:b/>
                <w:sz w:val="18"/>
                <w:szCs w:val="18"/>
              </w:rPr>
            </w:pPr>
          </w:p>
        </w:tc>
        <w:tc>
          <w:tcPr>
            <w:tcW w:w="1833" w:type="dxa"/>
            <w:vAlign w:val="center"/>
          </w:tcPr>
          <w:p w14:paraId="0FF0A524">
            <w:pPr>
              <w:spacing w:line="400" w:lineRule="exact"/>
              <w:jc w:val="center"/>
              <w:rPr>
                <w:rFonts w:ascii="宋体" w:hAnsi="宋体" w:cs="宋体"/>
                <w:sz w:val="18"/>
                <w:szCs w:val="18"/>
              </w:rPr>
            </w:pPr>
            <w:r>
              <w:rPr>
                <w:rFonts w:hint="eastAsia" w:ascii="宋体" w:hAnsi="宋体" w:cs="宋体"/>
                <w:sz w:val="18"/>
                <w:szCs w:val="18"/>
              </w:rPr>
              <w:t>安全措施（</w:t>
            </w:r>
            <w:r>
              <w:rPr>
                <w:rFonts w:hint="eastAsia" w:ascii="宋体" w:hAnsi="宋体" w:cs="宋体"/>
                <w:sz w:val="18"/>
                <w:szCs w:val="18"/>
                <w:lang w:val="en-US" w:eastAsia="zh-CN"/>
              </w:rPr>
              <w:t>3</w:t>
            </w:r>
            <w:r>
              <w:rPr>
                <w:rFonts w:hint="eastAsia" w:ascii="宋体" w:hAnsi="宋体" w:cs="宋体"/>
                <w:sz w:val="18"/>
                <w:szCs w:val="18"/>
              </w:rPr>
              <w:t>分）</w:t>
            </w:r>
          </w:p>
        </w:tc>
        <w:tc>
          <w:tcPr>
            <w:tcW w:w="5063" w:type="dxa"/>
          </w:tcPr>
          <w:p w14:paraId="3628391D">
            <w:pPr>
              <w:spacing w:line="400" w:lineRule="exact"/>
              <w:rPr>
                <w:rFonts w:ascii="宋体" w:hAnsi="宋体" w:cs="宋体"/>
                <w:sz w:val="18"/>
                <w:szCs w:val="18"/>
              </w:rPr>
            </w:pPr>
            <w:r>
              <w:rPr>
                <w:rFonts w:hint="eastAsia" w:ascii="宋体" w:hAnsi="宋体" w:cs="宋体"/>
                <w:sz w:val="18"/>
                <w:szCs w:val="18"/>
              </w:rPr>
              <w:t>根据提供的《安全措施方案》（含安全管理制度、现场安全管理等）给予1-</w:t>
            </w:r>
            <w:r>
              <w:rPr>
                <w:rFonts w:hint="eastAsia" w:ascii="宋体" w:hAnsi="宋体" w:cs="宋体"/>
                <w:sz w:val="18"/>
                <w:szCs w:val="18"/>
                <w:lang w:val="en-US" w:eastAsia="zh-CN"/>
              </w:rPr>
              <w:t>3</w:t>
            </w:r>
            <w:r>
              <w:rPr>
                <w:rFonts w:hint="eastAsia" w:ascii="宋体" w:hAnsi="宋体" w:cs="宋体"/>
                <w:sz w:val="18"/>
                <w:szCs w:val="18"/>
              </w:rPr>
              <w:t>分。</w:t>
            </w:r>
          </w:p>
        </w:tc>
      </w:tr>
      <w:tr w14:paraId="7292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vMerge w:val="continue"/>
          </w:tcPr>
          <w:p w14:paraId="3C957A8F">
            <w:pPr>
              <w:spacing w:line="400" w:lineRule="exact"/>
              <w:rPr>
                <w:rFonts w:ascii="宋体" w:hAnsi="宋体" w:cs="宋体"/>
                <w:sz w:val="18"/>
                <w:szCs w:val="18"/>
              </w:rPr>
            </w:pPr>
          </w:p>
        </w:tc>
        <w:tc>
          <w:tcPr>
            <w:tcW w:w="972" w:type="dxa"/>
            <w:vMerge w:val="continue"/>
          </w:tcPr>
          <w:p w14:paraId="6488326D">
            <w:pPr>
              <w:spacing w:line="400" w:lineRule="exact"/>
              <w:rPr>
                <w:rFonts w:ascii="宋体" w:hAnsi="宋体" w:cs="宋体"/>
                <w:b/>
                <w:sz w:val="18"/>
                <w:szCs w:val="18"/>
              </w:rPr>
            </w:pPr>
          </w:p>
        </w:tc>
        <w:tc>
          <w:tcPr>
            <w:tcW w:w="1833" w:type="dxa"/>
            <w:vAlign w:val="center"/>
          </w:tcPr>
          <w:p w14:paraId="6D982DAC">
            <w:pPr>
              <w:spacing w:line="400" w:lineRule="exact"/>
              <w:jc w:val="center"/>
              <w:rPr>
                <w:rFonts w:ascii="宋体" w:hAnsi="宋体" w:cs="宋体"/>
                <w:sz w:val="18"/>
                <w:szCs w:val="18"/>
              </w:rPr>
            </w:pPr>
            <w:r>
              <w:rPr>
                <w:rFonts w:hint="eastAsia" w:ascii="宋体" w:hAnsi="宋体" w:cs="宋体"/>
                <w:sz w:val="18"/>
                <w:szCs w:val="18"/>
              </w:rPr>
              <w:t>综合评分（2分）</w:t>
            </w:r>
          </w:p>
        </w:tc>
        <w:tc>
          <w:tcPr>
            <w:tcW w:w="5063" w:type="dxa"/>
          </w:tcPr>
          <w:p w14:paraId="41084F2F">
            <w:pPr>
              <w:spacing w:line="400" w:lineRule="exact"/>
              <w:rPr>
                <w:rFonts w:ascii="宋体" w:hAnsi="宋体" w:cs="宋体"/>
                <w:sz w:val="18"/>
                <w:szCs w:val="18"/>
              </w:rPr>
            </w:pPr>
            <w:r>
              <w:rPr>
                <w:rFonts w:hint="eastAsia" w:ascii="宋体" w:hAnsi="宋体" w:cs="宋体"/>
                <w:sz w:val="18"/>
                <w:szCs w:val="18"/>
              </w:rPr>
              <w:t>根据标书规范性、完整性给予1-2分。</w:t>
            </w:r>
          </w:p>
        </w:tc>
      </w:tr>
    </w:tbl>
    <w:p w14:paraId="43765B23">
      <w:pPr>
        <w:spacing w:line="610" w:lineRule="exact"/>
        <w:ind w:firstLine="420" w:firstLineChars="200"/>
      </w:pPr>
    </w:p>
    <w:p w14:paraId="47E7B8A5">
      <w:pPr>
        <w:numPr>
          <w:ilvl w:val="0"/>
          <w:numId w:val="4"/>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开标</w:t>
      </w:r>
    </w:p>
    <w:p w14:paraId="4D2456A0">
      <w:pPr>
        <w:spacing w:line="600" w:lineRule="exact"/>
        <w:ind w:firstLine="640" w:firstLineChars="200"/>
        <w:rPr>
          <w:rFonts w:ascii="Times New Roman" w:hAnsi="宋体"/>
          <w:szCs w:val="21"/>
        </w:rPr>
      </w:pPr>
      <w:r>
        <w:rPr>
          <w:rFonts w:hint="eastAsia" w:ascii="方正仿宋_GBK" w:eastAsia="方正仿宋_GBK"/>
          <w:sz w:val="32"/>
          <w:szCs w:val="32"/>
        </w:rPr>
        <w:t>由公司综合办代表人组织公司评标人员、监督人员按照投标文件规定的开标时间、地点进行现场开标。监督人员负责检查投标文件密封性后由综合办代表人组织评标小组对投标文件进行现场拆封，宣读投标人名称、投标报价相关内容，综合办代表人在开标过程中做好完整的记录。</w:t>
      </w:r>
    </w:p>
    <w:p w14:paraId="41131B7F">
      <w:pPr>
        <w:numPr>
          <w:ilvl w:val="0"/>
          <w:numId w:val="4"/>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评标</w:t>
      </w:r>
    </w:p>
    <w:p w14:paraId="685F3C50">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1、由评标小组及现场监督人员检查投标文件是否严格按照招标文件要求编写、资质技术是否符合本次比选项目要求；</w:t>
      </w:r>
    </w:p>
    <w:p w14:paraId="4681018A">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2、由公司综合办代表人组织评标小组于开标现场将各投标人投标价格统一公布后进行现场评标。</w:t>
      </w:r>
    </w:p>
    <w:p w14:paraId="5CE47DD0">
      <w:pPr>
        <w:numPr>
          <w:ilvl w:val="0"/>
          <w:numId w:val="4"/>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定标和通知</w:t>
      </w:r>
    </w:p>
    <w:p w14:paraId="4088EABE">
      <w:pPr>
        <w:spacing w:line="600" w:lineRule="exact"/>
        <w:ind w:firstLine="640" w:firstLineChars="200"/>
        <w:rPr>
          <w:rFonts w:eastAsia="方正仿宋_GBK"/>
        </w:rPr>
      </w:pPr>
      <w:r>
        <w:rPr>
          <w:rFonts w:hint="eastAsia" w:ascii="方正仿宋_GBK" w:eastAsia="方正仿宋_GBK"/>
          <w:sz w:val="32"/>
          <w:szCs w:val="32"/>
        </w:rPr>
        <w:t>1、定标：</w:t>
      </w:r>
      <w:r>
        <w:rPr>
          <w:rFonts w:hint="eastAsia" w:ascii="方正仿宋_GBK" w:hAnsi="方正仿宋_GBK" w:eastAsia="方正仿宋_GBK" w:cs="方正仿宋_GBK"/>
          <w:kern w:val="0"/>
          <w:sz w:val="32"/>
          <w:szCs w:val="32"/>
        </w:rPr>
        <w:t>按以上评标规则进行评审，综合得分排名第一的为中标人，本项目不进行份额分配，中标份额占比100%。</w:t>
      </w:r>
    </w:p>
    <w:p w14:paraId="1E358D9C">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2、通知：定标后，招标方将通知中标人；如参选方在比选工作结束后5日内没有接到招标方发出的中标通知书，投标人应视为在本次投标工作中落标；</w:t>
      </w:r>
    </w:p>
    <w:p w14:paraId="537D338F">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3、招标人和中标人须于中标通知书发出之日起10日内，按照招标文件、中标人的投标文件及本项目</w:t>
      </w:r>
      <w:r>
        <w:rPr>
          <w:rFonts w:hint="eastAsia" w:ascii="方正仿宋_GBK" w:eastAsia="方正仿宋_GBK"/>
          <w:sz w:val="32"/>
          <w:szCs w:val="32"/>
          <w:lang w:val="en-US" w:eastAsia="zh-CN"/>
        </w:rPr>
        <w:t>合同草案</w:t>
      </w:r>
      <w:r>
        <w:rPr>
          <w:rFonts w:hint="eastAsia" w:ascii="方正仿宋_GBK" w:eastAsia="方正仿宋_GBK"/>
          <w:sz w:val="32"/>
          <w:szCs w:val="32"/>
        </w:rPr>
        <w:t>（第五部分）订立书面合同。</w:t>
      </w:r>
    </w:p>
    <w:p w14:paraId="71D28803">
      <w:pPr>
        <w:spacing w:line="0" w:lineRule="atLeast"/>
        <w:jc w:val="center"/>
        <w:rPr>
          <w:rFonts w:ascii="Times New Roman" w:hAnsi="Times New Roman" w:eastAsia="方正黑体_GBK"/>
          <w:bCs/>
          <w:sz w:val="32"/>
          <w:szCs w:val="32"/>
        </w:rPr>
      </w:pPr>
    </w:p>
    <w:p w14:paraId="6AF7CC21">
      <w:pPr>
        <w:spacing w:line="0" w:lineRule="atLeast"/>
        <w:jc w:val="center"/>
        <w:rPr>
          <w:rFonts w:ascii="Times New Roman" w:hAnsi="Times New Roman" w:eastAsia="方正黑体_GBK"/>
          <w:bCs/>
          <w:sz w:val="32"/>
          <w:szCs w:val="32"/>
        </w:rPr>
      </w:pPr>
    </w:p>
    <w:p w14:paraId="728C2E33">
      <w:pPr>
        <w:spacing w:line="0" w:lineRule="atLeast"/>
        <w:jc w:val="center"/>
        <w:rPr>
          <w:rFonts w:ascii="Times New Roman" w:hAnsi="Times New Roman" w:eastAsia="方正黑体_GBK"/>
          <w:bCs/>
          <w:sz w:val="32"/>
          <w:szCs w:val="32"/>
        </w:rPr>
      </w:pPr>
    </w:p>
    <w:p w14:paraId="283A653C">
      <w:pPr>
        <w:spacing w:line="0" w:lineRule="atLeast"/>
        <w:jc w:val="center"/>
        <w:rPr>
          <w:rFonts w:ascii="方正黑体_GBK" w:hAnsi="方正黑体_GBK" w:eastAsia="方正黑体_GBK" w:cs="方正黑体_GBK"/>
          <w:bCs/>
          <w:kern w:val="0"/>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三</w:t>
      </w:r>
      <w:r>
        <w:rPr>
          <w:rFonts w:ascii="Times New Roman" w:hAnsi="Times New Roman" w:eastAsia="方正黑体_GBK"/>
          <w:bCs/>
          <w:sz w:val="32"/>
          <w:szCs w:val="32"/>
        </w:rPr>
        <w:t>部分</w:t>
      </w:r>
      <w:r>
        <w:rPr>
          <w:rFonts w:hint="eastAsia" w:ascii="Times New Roman" w:hAnsi="Times New Roman" w:eastAsia="方正黑体_GBK"/>
          <w:bCs/>
          <w:sz w:val="32"/>
          <w:szCs w:val="32"/>
        </w:rPr>
        <w:t>：</w:t>
      </w:r>
      <w:r>
        <w:rPr>
          <w:rFonts w:ascii="Times New Roman" w:hAnsi="Times New Roman" w:eastAsia="方正黑体_GBK"/>
          <w:bCs/>
          <w:sz w:val="32"/>
          <w:szCs w:val="32"/>
        </w:rPr>
        <w:t>主要</w:t>
      </w:r>
      <w:r>
        <w:rPr>
          <w:rFonts w:hint="eastAsia" w:ascii="Times New Roman" w:hAnsi="Times New Roman" w:eastAsia="方正黑体_GBK"/>
          <w:bCs/>
          <w:sz w:val="32"/>
          <w:szCs w:val="32"/>
        </w:rPr>
        <w:t>资质</w:t>
      </w:r>
    </w:p>
    <w:p w14:paraId="294BD22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一、资质要求</w:t>
      </w:r>
    </w:p>
    <w:p w14:paraId="33ED2681">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ascii="方正仿宋_GBK" w:eastAsia="方正仿宋_GBK"/>
          <w:sz w:val="32"/>
          <w:szCs w:val="32"/>
        </w:rPr>
      </w:pPr>
      <w:bookmarkStart w:id="1" w:name="_Toc73427857"/>
      <w:bookmarkStart w:id="2" w:name="_Toc484512238"/>
      <w:bookmarkStart w:id="3" w:name="_Toc73427856"/>
      <w:bookmarkStart w:id="4" w:name="_Ref467988698"/>
      <w:bookmarkStart w:id="5" w:name="_Toc70044374"/>
      <w:r>
        <w:rPr>
          <w:rFonts w:hint="eastAsia" w:ascii="方正仿宋_GBK" w:eastAsia="方正仿宋_GBK"/>
          <w:sz w:val="32"/>
          <w:szCs w:val="32"/>
        </w:rPr>
        <w:t>投标人必须具有独立法人资格或获得公司法人合法授权（提供相关证明复印件，原件备查）；</w:t>
      </w:r>
    </w:p>
    <w:p w14:paraId="5ED6162C">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ascii="方正仿宋_GBK" w:eastAsia="方正仿宋_GBK"/>
          <w:sz w:val="32"/>
          <w:szCs w:val="32"/>
        </w:rPr>
      </w:pPr>
      <w:r>
        <w:rPr>
          <w:rFonts w:hint="eastAsia" w:ascii="方正仿宋_GBK" w:eastAsia="方正仿宋_GBK"/>
          <w:sz w:val="32"/>
          <w:szCs w:val="32"/>
        </w:rPr>
        <w:t>投标人经营范围须包含劳务外包服务，具备相应的有效人力资源服务资质（如《人力资源服务许可证》，需提供证书复印件并加盖投标人公章，原件开标时备查）。</w:t>
      </w:r>
    </w:p>
    <w:p w14:paraId="7E8C7AA8">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方正黑体_GBK"/>
          <w:bCs/>
          <w:sz w:val="32"/>
          <w:szCs w:val="32"/>
        </w:rPr>
      </w:pPr>
      <w:r>
        <w:rPr>
          <w:rFonts w:hint="eastAsia" w:ascii="方正仿宋_GBK" w:eastAsia="方正仿宋_GBK"/>
          <w:sz w:val="32"/>
          <w:szCs w:val="32"/>
        </w:rPr>
        <w:t>投标人近3年内（2022年1月1日至今）无重大违法违规记录（需提供“信用中国”网站近一月的查询截图，加盖公章），未被列入失信被执行人名单、重大税收违法失信主体的相关证明。</w:t>
      </w:r>
      <w:bookmarkEnd w:id="1"/>
      <w:bookmarkEnd w:id="2"/>
      <w:bookmarkEnd w:id="3"/>
      <w:bookmarkEnd w:id="4"/>
      <w:bookmarkEnd w:id="5"/>
    </w:p>
    <w:p w14:paraId="55232EB6">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ascii="Times New Roman" w:hAnsi="Times New Roman" w:eastAsia="方正黑体_GBK"/>
          <w:bCs/>
          <w:sz w:val="32"/>
          <w:szCs w:val="32"/>
        </w:rPr>
      </w:pPr>
      <w:r>
        <w:rPr>
          <w:rFonts w:hint="eastAsia" w:ascii="方正仿宋_GBK" w:eastAsia="方正仿宋_GBK"/>
          <w:sz w:val="32"/>
          <w:szCs w:val="32"/>
        </w:rPr>
        <w:t>在资格审查环节，若发现投标人存在未了结且对履约能力构成实质性影响的重大合同纠纷以或存在其他严重失信行为等情形的，将取消其</w:t>
      </w:r>
      <w:r>
        <w:rPr>
          <w:rFonts w:hint="eastAsia" w:ascii="方正仿宋_GBK" w:eastAsia="方正仿宋_GBK"/>
          <w:sz w:val="32"/>
          <w:szCs w:val="32"/>
          <w:lang w:val="en-US" w:eastAsia="zh-CN"/>
        </w:rPr>
        <w:t>投标</w:t>
      </w:r>
      <w:r>
        <w:rPr>
          <w:rFonts w:hint="eastAsia" w:ascii="方正仿宋_GBK" w:eastAsia="方正仿宋_GBK"/>
          <w:sz w:val="32"/>
          <w:szCs w:val="32"/>
        </w:rPr>
        <w:t>资格</w:t>
      </w:r>
      <w:r>
        <w:rPr>
          <w:rFonts w:hint="eastAsia" w:ascii="方正仿宋_GBK" w:eastAsia="方正仿宋_GBK"/>
          <w:sz w:val="32"/>
          <w:szCs w:val="32"/>
          <w:lang w:eastAsia="zh-CN"/>
        </w:rPr>
        <w:t>。</w:t>
      </w:r>
    </w:p>
    <w:p w14:paraId="60E965DD">
      <w:pPr>
        <w:spacing w:line="0" w:lineRule="atLeast"/>
        <w:jc w:val="center"/>
        <w:rPr>
          <w:rFonts w:ascii="Times New Roman" w:hAnsi="Times New Roman" w:eastAsia="方正黑体_GBK"/>
          <w:bCs/>
          <w:sz w:val="32"/>
          <w:szCs w:val="32"/>
        </w:rPr>
      </w:pPr>
    </w:p>
    <w:p w14:paraId="690DF623">
      <w:pPr>
        <w:spacing w:line="0" w:lineRule="atLeast"/>
        <w:jc w:val="center"/>
        <w:rPr>
          <w:rFonts w:ascii="Times New Roman" w:hAnsi="Times New Roman" w:eastAsia="方正黑体_GBK"/>
          <w:bCs/>
          <w:sz w:val="32"/>
          <w:szCs w:val="32"/>
        </w:rPr>
      </w:pPr>
    </w:p>
    <w:p w14:paraId="5662AF5A">
      <w:pPr>
        <w:spacing w:line="0" w:lineRule="atLeast"/>
        <w:rPr>
          <w:rFonts w:ascii="Times New Roman" w:hAnsi="Times New Roman" w:eastAsia="方正黑体_GBK"/>
          <w:bCs/>
          <w:sz w:val="32"/>
          <w:szCs w:val="32"/>
        </w:rPr>
      </w:pPr>
    </w:p>
    <w:p w14:paraId="6EACDAB0">
      <w:pPr>
        <w:rPr>
          <w:rFonts w:ascii="Times New Roman" w:hAnsi="Times New Roman" w:eastAsia="方正黑体_GBK"/>
          <w:bCs/>
          <w:sz w:val="32"/>
          <w:szCs w:val="32"/>
        </w:rPr>
      </w:pPr>
      <w:r>
        <w:rPr>
          <w:rFonts w:ascii="Times New Roman" w:hAnsi="Times New Roman" w:eastAsia="方正黑体_GBK"/>
          <w:bCs/>
          <w:sz w:val="32"/>
          <w:szCs w:val="32"/>
        </w:rPr>
        <w:br w:type="page"/>
      </w:r>
    </w:p>
    <w:p w14:paraId="3E3F817D">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四</w:t>
      </w:r>
      <w:r>
        <w:rPr>
          <w:rFonts w:ascii="Times New Roman" w:hAnsi="Times New Roman" w:eastAsia="方正黑体_GBK"/>
          <w:bCs/>
          <w:sz w:val="32"/>
          <w:szCs w:val="32"/>
        </w:rPr>
        <w:t>部分</w:t>
      </w:r>
      <w:r>
        <w:rPr>
          <w:rFonts w:hint="eastAsia" w:ascii="Times New Roman" w:hAnsi="Times New Roman" w:eastAsia="方正黑体_GBK"/>
          <w:bCs/>
          <w:sz w:val="32"/>
          <w:szCs w:val="32"/>
        </w:rPr>
        <w:t>：</w:t>
      </w:r>
      <w:r>
        <w:rPr>
          <w:rFonts w:ascii="Times New Roman" w:hAnsi="Times New Roman" w:eastAsia="方正黑体_GBK"/>
          <w:bCs/>
          <w:sz w:val="32"/>
          <w:szCs w:val="32"/>
        </w:rPr>
        <w:t>比选响应文件格式及要求</w:t>
      </w:r>
    </w:p>
    <w:p w14:paraId="0F7D3103">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74032D05">
      <w:pPr>
        <w:widowControl/>
        <w:jc w:val="center"/>
        <w:rPr>
          <w:rFonts w:ascii="Times New Roman" w:hAnsi="Times New Roman"/>
          <w:b/>
          <w:sz w:val="84"/>
          <w:szCs w:val="84"/>
        </w:rPr>
      </w:pPr>
      <w:r>
        <w:rPr>
          <w:rFonts w:hint="eastAsia" w:ascii="方正黑体_GBK" w:hAnsi="方正黑体_GBK" w:eastAsia="方正黑体_GBK" w:cs="方正黑体_GBK"/>
          <w:bCs/>
          <w:kern w:val="0"/>
          <w:sz w:val="48"/>
          <w:szCs w:val="48"/>
        </w:rPr>
        <w:t>导购员外包项目</w:t>
      </w:r>
    </w:p>
    <w:p w14:paraId="12BC753B">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比</w:t>
      </w:r>
    </w:p>
    <w:p w14:paraId="1252DFE2">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选</w:t>
      </w:r>
    </w:p>
    <w:p w14:paraId="0F3AF3DF">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响</w:t>
      </w:r>
    </w:p>
    <w:p w14:paraId="48F2E836">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应</w:t>
      </w:r>
    </w:p>
    <w:p w14:paraId="373575AF">
      <w:pPr>
        <w:pStyle w:val="5"/>
        <w:jc w:val="center"/>
        <w:rPr>
          <w:rFonts w:ascii="方正黑体_GBK" w:hAnsi="方正黑体_GBK" w:eastAsia="方正黑体_GBK" w:cs="方正黑体_GBK"/>
          <w:bCs/>
          <w:sz w:val="72"/>
          <w:szCs w:val="72"/>
        </w:rPr>
      </w:pPr>
      <w:r>
        <w:rPr>
          <w:rFonts w:hint="eastAsia" w:ascii="方正黑体_GBK" w:hAnsi="方正黑体_GBK" w:eastAsia="方正黑体_GBK" w:cs="方正黑体_GBK"/>
          <w:bCs/>
          <w:sz w:val="72"/>
          <w:szCs w:val="72"/>
        </w:rPr>
        <w:t>文</w:t>
      </w:r>
    </w:p>
    <w:p w14:paraId="6AB045C9">
      <w:pPr>
        <w:pStyle w:val="5"/>
        <w:jc w:val="center"/>
        <w:rPr>
          <w:rFonts w:ascii="方正黑体_GBK" w:hAnsi="方正黑体_GBK" w:eastAsia="方正黑体_GBK" w:cs="方正黑体_GBK"/>
          <w:bCs/>
          <w:sz w:val="32"/>
          <w:szCs w:val="32"/>
          <w:u w:val="single"/>
        </w:rPr>
      </w:pPr>
      <w:r>
        <w:rPr>
          <w:rFonts w:hint="eastAsia" w:ascii="方正黑体_GBK" w:hAnsi="方正黑体_GBK" w:eastAsia="方正黑体_GBK" w:cs="方正黑体_GBK"/>
          <w:bCs/>
          <w:sz w:val="72"/>
          <w:szCs w:val="72"/>
        </w:rPr>
        <w:t>件</w:t>
      </w:r>
    </w:p>
    <w:p w14:paraId="3B45301A">
      <w:pPr>
        <w:jc w:val="left"/>
        <w:rPr>
          <w:rFonts w:ascii="方正黑体_GBK" w:hAnsi="方正黑体_GBK" w:eastAsia="方正黑体_GBK" w:cs="方正黑体_GBK"/>
          <w:bCs/>
          <w:sz w:val="28"/>
          <w:szCs w:val="28"/>
        </w:rPr>
      </w:pPr>
    </w:p>
    <w:p w14:paraId="162D6062">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投标人：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（盖章单位）</w:t>
      </w:r>
    </w:p>
    <w:p w14:paraId="43626930">
      <w:pPr>
        <w:jc w:val="center"/>
        <w:rPr>
          <w:rFonts w:ascii="方正黑体_GBK" w:hAnsi="方正黑体_GBK" w:eastAsia="方正黑体_GBK" w:cs="方正黑体_GBK"/>
          <w:bCs/>
          <w:sz w:val="28"/>
          <w:szCs w:val="28"/>
        </w:rPr>
      </w:pPr>
    </w:p>
    <w:p w14:paraId="294D6876">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法定代表人或其委托代理人：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（签字）</w:t>
      </w:r>
    </w:p>
    <w:p w14:paraId="5A01524F">
      <w:pPr>
        <w:jc w:val="center"/>
        <w:rPr>
          <w:rFonts w:ascii="方正黑体_GBK" w:hAnsi="方正黑体_GBK" w:eastAsia="方正黑体_GBK" w:cs="方正黑体_GBK"/>
          <w:bCs/>
          <w:sz w:val="28"/>
          <w:szCs w:val="28"/>
        </w:rPr>
      </w:pPr>
    </w:p>
    <w:p w14:paraId="7C5858F0">
      <w:pPr>
        <w:jc w:val="center"/>
        <w:rPr>
          <w:rFonts w:ascii="方正黑体_GBK" w:hAnsi="方正黑体_GBK" w:eastAsia="方正黑体_GBK" w:cs="方正黑体_GBK"/>
          <w:sz w:val="36"/>
          <w:szCs w:val="32"/>
        </w:rPr>
      </w:pP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年</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月</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日</w:t>
      </w:r>
    </w:p>
    <w:p w14:paraId="028791E1">
      <w:pPr>
        <w:jc w:val="center"/>
        <w:rPr>
          <w:rFonts w:ascii="方正黑体_GBK" w:hAnsi="方正黑体_GBK" w:eastAsia="方正黑体_GBK" w:cs="方正黑体_GBK"/>
          <w:sz w:val="36"/>
          <w:szCs w:val="32"/>
        </w:rPr>
      </w:pPr>
      <w:r>
        <w:rPr>
          <w:rFonts w:hint="eastAsia" w:ascii="方正黑体_GBK" w:hAnsi="方正黑体_GBK" w:eastAsia="方正黑体_GBK" w:cs="方正黑体_GBK"/>
          <w:sz w:val="36"/>
          <w:szCs w:val="32"/>
        </w:rPr>
        <w:t>目录</w:t>
      </w:r>
    </w:p>
    <w:p w14:paraId="0DC8E1EB">
      <w:pPr>
        <w:numPr>
          <w:ilvl w:val="0"/>
          <w:numId w:val="6"/>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投标函及投标单位简介</w:t>
      </w:r>
    </w:p>
    <w:p w14:paraId="3A3C0EF4">
      <w:pPr>
        <w:numPr>
          <w:ilvl w:val="0"/>
          <w:numId w:val="7"/>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投标函</w:t>
      </w:r>
    </w:p>
    <w:p w14:paraId="785A610E">
      <w:pPr>
        <w:numPr>
          <w:ilvl w:val="0"/>
          <w:numId w:val="7"/>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投标单位简介（或另册提供）</w:t>
      </w:r>
    </w:p>
    <w:p w14:paraId="1D195C47">
      <w:pPr>
        <w:numPr>
          <w:ilvl w:val="0"/>
          <w:numId w:val="6"/>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资质文件</w:t>
      </w:r>
    </w:p>
    <w:p w14:paraId="06BFBBC6">
      <w:pPr>
        <w:numPr>
          <w:ilvl w:val="0"/>
          <w:numId w:val="8"/>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营业执照（提供最新有效副本复印件，加盖公章，需包含经营范围页，且经营范围需包含‘劳务外包’相关内容）。</w:t>
      </w:r>
    </w:p>
    <w:p w14:paraId="1BC30808">
      <w:pPr>
        <w:numPr>
          <w:ilvl w:val="0"/>
          <w:numId w:val="8"/>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行业相关资格证书，如《人力资源服务许可证》等。</w:t>
      </w:r>
    </w:p>
    <w:p w14:paraId="7883A139">
      <w:pPr>
        <w:numPr>
          <w:ilvl w:val="0"/>
          <w:numId w:val="8"/>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类似项目业绩证明（合同复印件或中标通知书）。</w:t>
      </w:r>
    </w:p>
    <w:p w14:paraId="0FF5EFB2">
      <w:pPr>
        <w:numPr>
          <w:ilvl w:val="0"/>
          <w:numId w:val="8"/>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近3年内无重大违法违规记录、未被列入失信被执行人名单、重大税收违法失信主体的相关证明。</w:t>
      </w:r>
    </w:p>
    <w:p w14:paraId="0DE50C0C">
      <w:pPr>
        <w:numPr>
          <w:ilvl w:val="0"/>
          <w:numId w:val="6"/>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报价函</w:t>
      </w:r>
    </w:p>
    <w:p w14:paraId="0E5C6DEA">
      <w:pPr>
        <w:numPr>
          <w:ilvl w:val="0"/>
          <w:numId w:val="9"/>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报价函</w:t>
      </w:r>
    </w:p>
    <w:p w14:paraId="5C6410BB">
      <w:pPr>
        <w:numPr>
          <w:ilvl w:val="0"/>
          <w:numId w:val="6"/>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商务及技术文件</w:t>
      </w:r>
    </w:p>
    <w:p w14:paraId="438AF20D">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法定代表人身份证明</w:t>
      </w:r>
    </w:p>
    <w:p w14:paraId="1EE7B02F">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法人代表授权书格式</w:t>
      </w:r>
    </w:p>
    <w:p w14:paraId="7618EB22">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真实性承诺</w:t>
      </w:r>
    </w:p>
    <w:p w14:paraId="4716060C">
      <w:pPr>
        <w:numPr>
          <w:ilvl w:val="0"/>
          <w:numId w:val="10"/>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服务承诺</w:t>
      </w:r>
    </w:p>
    <w:p w14:paraId="4D7C2743">
      <w:pPr>
        <w:numPr>
          <w:ilvl w:val="0"/>
          <w:numId w:val="6"/>
        </w:num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安全措施方案</w:t>
      </w:r>
    </w:p>
    <w:p w14:paraId="666972B6">
      <w:pPr>
        <w:numPr>
          <w:ilvl w:val="0"/>
          <w:numId w:val="11"/>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针对本项目提供《安全措施方案》（包含但不限于：安全管理制度、现场安全管理流程、员工安全培训计划、应急处置预案、安全责任分工表，方案需加盖投标人公章）</w:t>
      </w:r>
    </w:p>
    <w:p w14:paraId="087BABFC">
      <w:pPr>
        <w:autoSpaceDE w:val="0"/>
        <w:autoSpaceDN w:val="0"/>
        <w:adjustRightInd w:val="0"/>
        <w:spacing w:line="440" w:lineRule="exact"/>
        <w:jc w:val="left"/>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（注：上述文件根据上述要求提供，每页加盖公章并盖骑缝章）</w:t>
      </w:r>
    </w:p>
    <w:p w14:paraId="52BDAE0C">
      <w:pPr>
        <w:spacing w:line="500" w:lineRule="exact"/>
        <w:rPr>
          <w:rFonts w:ascii="Times New Roman" w:hAnsi="Times New Roman"/>
          <w:sz w:val="24"/>
          <w:szCs w:val="24"/>
        </w:rPr>
      </w:pPr>
    </w:p>
    <w:p w14:paraId="141D7271">
      <w:pPr>
        <w:spacing w:line="0" w:lineRule="atLeast"/>
        <w:jc w:val="center"/>
        <w:rPr>
          <w:rFonts w:ascii="Times New Roman" w:hAnsi="Times New Roman"/>
          <w:b/>
          <w:sz w:val="28"/>
          <w:szCs w:val="28"/>
        </w:rPr>
      </w:pPr>
    </w:p>
    <w:p w14:paraId="3855C18E">
      <w:pPr>
        <w:spacing w:line="0" w:lineRule="atLeast"/>
        <w:jc w:val="center"/>
        <w:rPr>
          <w:rFonts w:ascii="Times New Roman" w:hAnsi="Times New Roman"/>
          <w:b/>
          <w:sz w:val="28"/>
          <w:szCs w:val="28"/>
        </w:rPr>
      </w:pPr>
    </w:p>
    <w:p w14:paraId="74A98F7D">
      <w:pPr>
        <w:spacing w:line="0" w:lineRule="atLeast"/>
        <w:jc w:val="center"/>
        <w:rPr>
          <w:rFonts w:ascii="Times New Roman" w:hAnsi="Times New Roman"/>
          <w:b/>
          <w:sz w:val="28"/>
          <w:szCs w:val="28"/>
        </w:rPr>
      </w:pPr>
    </w:p>
    <w:p w14:paraId="2628E84C">
      <w:pPr>
        <w:spacing w:line="0" w:lineRule="atLeast"/>
        <w:jc w:val="center"/>
        <w:rPr>
          <w:rFonts w:ascii="Times New Roman" w:hAnsi="Times New Roman"/>
          <w:b/>
          <w:sz w:val="28"/>
          <w:szCs w:val="28"/>
        </w:rPr>
      </w:pPr>
    </w:p>
    <w:p w14:paraId="0692353B">
      <w:pPr>
        <w:spacing w:line="0" w:lineRule="atLeast"/>
        <w:jc w:val="center"/>
        <w:rPr>
          <w:rFonts w:ascii="Times New Roman" w:hAnsi="Times New Roman"/>
          <w:b/>
          <w:sz w:val="28"/>
          <w:szCs w:val="28"/>
        </w:rPr>
      </w:pPr>
    </w:p>
    <w:p w14:paraId="3355473B">
      <w:pPr>
        <w:spacing w:line="0" w:lineRule="atLeast"/>
        <w:jc w:val="center"/>
        <w:rPr>
          <w:rFonts w:ascii="Times New Roman" w:hAnsi="Times New Roman"/>
          <w:b/>
          <w:sz w:val="28"/>
          <w:szCs w:val="28"/>
        </w:rPr>
      </w:pPr>
    </w:p>
    <w:p w14:paraId="7B43A63F">
      <w:pPr>
        <w:spacing w:line="0" w:lineRule="atLeast"/>
        <w:jc w:val="center"/>
        <w:rPr>
          <w:rFonts w:ascii="Times New Roman" w:hAnsi="Times New Roman"/>
          <w:b/>
          <w:sz w:val="28"/>
          <w:szCs w:val="28"/>
        </w:rPr>
      </w:pPr>
    </w:p>
    <w:p w14:paraId="1291D614">
      <w:pPr>
        <w:spacing w:line="0" w:lineRule="atLeast"/>
        <w:jc w:val="center"/>
        <w:rPr>
          <w:rFonts w:ascii="Times New Roman" w:hAnsi="Times New Roman"/>
          <w:b/>
          <w:sz w:val="28"/>
          <w:szCs w:val="28"/>
        </w:rPr>
      </w:pPr>
    </w:p>
    <w:p w14:paraId="574B1890">
      <w:pPr>
        <w:spacing w:line="0" w:lineRule="atLeast"/>
        <w:jc w:val="center"/>
        <w:rPr>
          <w:rFonts w:ascii="Times New Roman" w:hAnsi="Times New Roman"/>
          <w:b/>
          <w:sz w:val="28"/>
          <w:szCs w:val="28"/>
        </w:rPr>
      </w:pPr>
    </w:p>
    <w:p w14:paraId="1935E5A3">
      <w:pPr>
        <w:numPr>
          <w:ilvl w:val="0"/>
          <w:numId w:val="12"/>
        </w:numPr>
        <w:jc w:val="center"/>
        <w:rPr>
          <w:rFonts w:ascii="方正黑体_GBK" w:hAnsi="方正黑体_GBK" w:eastAsia="方正黑体_GBK" w:cs="方正黑体_GBK"/>
          <w:sz w:val="32"/>
          <w:szCs w:val="32"/>
        </w:rPr>
      </w:pPr>
      <w:bookmarkStart w:id="6" w:name="_Toc484512242"/>
      <w:bookmarkStart w:id="7" w:name="_Ref467988712"/>
      <w:r>
        <w:rPr>
          <w:rFonts w:hint="eastAsia" w:ascii="方正黑体_GBK" w:hAnsi="方正黑体_GBK" w:eastAsia="方正黑体_GBK" w:cs="方正黑体_GBK"/>
          <w:sz w:val="32"/>
          <w:szCs w:val="32"/>
        </w:rPr>
        <w:t>投标函及投标单位简介</w:t>
      </w:r>
    </w:p>
    <w:p w14:paraId="668F69D7">
      <w:pPr>
        <w:numPr>
          <w:ilvl w:val="0"/>
          <w:numId w:val="13"/>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投标函</w:t>
      </w:r>
    </w:p>
    <w:p w14:paraId="3CD0CD00">
      <w:pPr>
        <w:jc w:val="center"/>
        <w:rPr>
          <w:rFonts w:ascii="方正仿宋_GBK" w:hAnsi="方正仿宋_GBK" w:eastAsia="方正仿宋_GBK" w:cs="方正仿宋_GBK"/>
        </w:rPr>
      </w:pPr>
      <w:r>
        <w:rPr>
          <w:rFonts w:hint="eastAsia" w:ascii="方正小标宋_GBK" w:hAnsi="方正小标宋_GBK" w:eastAsia="方正小标宋_GBK" w:cs="方正小标宋_GBK"/>
          <w:sz w:val="44"/>
          <w:szCs w:val="44"/>
        </w:rPr>
        <w:t>投 标 函</w:t>
      </w:r>
      <w:r>
        <w:rPr>
          <w:rFonts w:hint="eastAsia" w:ascii="方正仿宋_GBK" w:hAnsi="方正仿宋_GBK" w:eastAsia="方正仿宋_GBK" w:cs="方正仿宋_GBK"/>
        </w:rPr>
        <w:t> </w:t>
      </w:r>
    </w:p>
    <w:p w14:paraId="2720ECE2">
      <w:pPr>
        <w:rPr>
          <w:rFonts w:ascii="方正仿宋_GBK" w:hAnsi="方正仿宋_GBK" w:eastAsia="方正仿宋_GBK" w:cs="方正仿宋_GBK"/>
          <w:sz w:val="28"/>
          <w:szCs w:val="28"/>
        </w:rPr>
      </w:pPr>
    </w:p>
    <w:p w14:paraId="6CDB0C91">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致：中垦华山牧乳业有限公司 </w:t>
      </w:r>
    </w:p>
    <w:p w14:paraId="57B6BFF6">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我方已仔细研读《中垦华山牧乳业导购员外包项目》招标文件的全部条款、技术规范及相关附件，完全理解并同意遵守文件中的各项要求，自愿参与本次项目投标，并作出如下郑重承诺：</w:t>
      </w:r>
    </w:p>
    <w:p w14:paraId="46DD50DE">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一、投标响应声明</w:t>
      </w:r>
    </w:p>
    <w:p w14:paraId="47ABA036">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我方同意按招标文件规定的服务范围、技术标准及要求提供服务，投标报价已充分考虑项目实施过程中的各类风险因素，完全符合招标文件的报价规范。</w:t>
      </w:r>
    </w:p>
    <w:p w14:paraId="26151AD9">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二、投标有效期承诺</w:t>
      </w:r>
    </w:p>
    <w:p w14:paraId="4B010ED3">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我方承诺在招标文件规定的投标有效期内，不擅自修改、撤销投标文件，若出现上述行为，愿意承担相应的违约责任。</w:t>
      </w:r>
    </w:p>
    <w:p w14:paraId="4F64B880">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三、中标后承诺</w:t>
      </w:r>
    </w:p>
    <w:p w14:paraId="33ED77D1">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1.若我方中标，将在收到中标通知书后，严格按照通知书规定的期限与贵方签订正式合同，确保合同签订流程合法合规、高效推进；</w:t>
      </w:r>
    </w:p>
    <w:p w14:paraId="79D8C0BB">
      <w:pPr>
        <w:ind w:firstLine="560" w:firstLineChars="200"/>
        <w:rPr>
          <w:rFonts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2.我方保证在报价函约定的服务周期内完成项目全部接收工作，若未按期完成，自愿接受如下处罚：每推迟一天扣除服务费用500元，按实际逾期天数累计计算；若逾期超过10天，同意贵方按照招标文件规定终止相关合作，且不提出任何异议；</w:t>
      </w:r>
    </w:p>
    <w:p w14:paraId="6B2962AC">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.我方承诺严格按照招标文件及合同约定，全面满足贵方关于导购员外包服务的各项需求，包括但不限于人员配置标准、服务质量要求、工作考核指标等，确保服务达到约定标准；</w:t>
      </w:r>
    </w:p>
    <w:p w14:paraId="02951E42">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.我方在此声明，所递交的投标文件及相关资料内容完整、真实、有效，无任何虚假记载、误导性陈述或重大遗漏，若因文件虚假、不实导致贵方遭受损失，我方愿意承担全部经济赔偿责任及相应的法律责任；</w:t>
      </w:r>
    </w:p>
    <w:p w14:paraId="14D2FC9E">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若我方成功中标，在合同协议书正式签署生效之前，本投标函连同贵方出具的中标通知书，将构成双方之间共同遵守的具有法律约束力的文件，双方均应严格履行相关义务。</w:t>
      </w:r>
    </w:p>
    <w:p w14:paraId="23BD30EA">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（其他补充说明）。</w:t>
      </w:r>
    </w:p>
    <w:p w14:paraId="5924D5C8">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14:paraId="33D30A76">
      <w:pPr>
        <w:widowControl/>
        <w:wordWrap w:val="0"/>
        <w:ind w:firstLine="560" w:firstLineChars="20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投标单位名称（公章）：                    </w:t>
      </w:r>
    </w:p>
    <w:p w14:paraId="75EA6948">
      <w:pPr>
        <w:wordWrap w:val="0"/>
        <w:ind w:firstLine="560" w:firstLineChars="200"/>
        <w:jc w:val="right"/>
        <w:rPr>
          <w:rFonts w:ascii="Times New Roman" w:hAnsi="Times New Roman"/>
        </w:rPr>
      </w:pPr>
      <w:r>
        <w:rPr>
          <w:rFonts w:hint="eastAsia" w:ascii="方正仿宋_GBK" w:hAnsi="方正仿宋_GBK" w:eastAsia="方正仿宋_GBK" w:cs="方正仿宋_GBK"/>
          <w:sz w:val="28"/>
          <w:szCs w:val="28"/>
        </w:rPr>
        <w:t xml:space="preserve">法定代表人（签字、盖章）：                </w:t>
      </w:r>
    </w:p>
    <w:p w14:paraId="5BD42F08">
      <w:pPr>
        <w:ind w:firstLine="560" w:firstLineChars="200"/>
        <w:jc w:val="right"/>
        <w:rPr>
          <w:rFonts w:ascii="Times New Roman" w:hAnsi="Times New Roman"/>
        </w:rPr>
      </w:pPr>
      <w:r>
        <w:rPr>
          <w:rFonts w:hint="eastAsia" w:ascii="方正仿宋_GBK" w:hAnsi="方正仿宋_GBK" w:eastAsia="方正仿宋_GBK" w:cs="方正仿宋_GBK"/>
          <w:sz w:val="28"/>
          <w:szCs w:val="28"/>
        </w:rPr>
        <w:t xml:space="preserve">           联系方式：                                </w:t>
      </w:r>
    </w:p>
    <w:p w14:paraId="4BC01100">
      <w:pPr>
        <w:spacing w:line="360" w:lineRule="auto"/>
        <w:ind w:firstLine="6720" w:firstLineChars="2400"/>
        <w:rPr>
          <w:rFonts w:ascii="方正仿宋_GBK" w:hAnsi="方正仿宋_GBK" w:eastAsia="方正仿宋_GBK" w:cs="方正仿宋_GBK"/>
          <w:sz w:val="28"/>
          <w:szCs w:val="28"/>
        </w:rPr>
        <w:sectPr>
          <w:pgSz w:w="11906" w:h="16838"/>
          <w:pgMar w:top="1440" w:right="1274" w:bottom="1440" w:left="1440" w:header="851" w:footer="992" w:gutter="0"/>
          <w:pgNumType w:fmt="numberInDash"/>
          <w:cols w:space="720" w:num="1"/>
          <w:titlePg/>
          <w:docGrid w:type="lines" w:linePitch="312" w:charSpace="0"/>
        </w:sect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6CA353A4">
      <w:pPr>
        <w:numPr>
          <w:ilvl w:val="0"/>
          <w:numId w:val="13"/>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投标单位简介</w:t>
      </w:r>
    </w:p>
    <w:p w14:paraId="7F0EF7EA">
      <w:pPr>
        <w:autoSpaceDE w:val="0"/>
        <w:autoSpaceDN w:val="0"/>
        <w:adjustRightInd w:val="0"/>
        <w:spacing w:before="120" w:line="440" w:lineRule="exact"/>
        <w:jc w:val="center"/>
        <w:rPr>
          <w:rFonts w:ascii="Times New Roman" w:hAnsi="Times New Roman"/>
          <w:b/>
          <w:kern w:val="0"/>
          <w:sz w:val="24"/>
          <w:szCs w:val="24"/>
        </w:rPr>
      </w:pPr>
    </w:p>
    <w:p w14:paraId="5562FD3E">
      <w:pPr>
        <w:autoSpaceDE w:val="0"/>
        <w:autoSpaceDN w:val="0"/>
        <w:adjustRightInd w:val="0"/>
        <w:spacing w:before="120" w:line="440" w:lineRule="exact"/>
        <w:jc w:val="center"/>
        <w:rPr>
          <w:rFonts w:ascii="Times New Roman" w:hAnsi="Times New Roman"/>
          <w:b/>
          <w:kern w:val="0"/>
          <w:sz w:val="24"/>
          <w:szCs w:val="24"/>
        </w:rPr>
      </w:pPr>
    </w:p>
    <w:p w14:paraId="7215EEFF">
      <w:pPr>
        <w:autoSpaceDE w:val="0"/>
        <w:autoSpaceDN w:val="0"/>
        <w:adjustRightInd w:val="0"/>
        <w:spacing w:before="120" w:line="440" w:lineRule="exact"/>
        <w:jc w:val="center"/>
        <w:rPr>
          <w:rFonts w:ascii="Times New Roman" w:hAnsi="Times New Roman"/>
          <w:b/>
          <w:kern w:val="0"/>
          <w:sz w:val="24"/>
          <w:szCs w:val="24"/>
        </w:rPr>
      </w:pPr>
    </w:p>
    <w:p w14:paraId="041F5B48">
      <w:pPr>
        <w:autoSpaceDE w:val="0"/>
        <w:autoSpaceDN w:val="0"/>
        <w:adjustRightInd w:val="0"/>
        <w:spacing w:before="120" w:line="440" w:lineRule="exact"/>
        <w:jc w:val="center"/>
        <w:rPr>
          <w:rFonts w:ascii="Times New Roman" w:hAnsi="Times New Roman"/>
          <w:b/>
          <w:kern w:val="0"/>
          <w:sz w:val="24"/>
          <w:szCs w:val="24"/>
        </w:rPr>
      </w:pPr>
    </w:p>
    <w:p w14:paraId="0E42F325">
      <w:pPr>
        <w:autoSpaceDE w:val="0"/>
        <w:autoSpaceDN w:val="0"/>
        <w:adjustRightInd w:val="0"/>
        <w:spacing w:before="120" w:line="440" w:lineRule="exact"/>
        <w:jc w:val="center"/>
        <w:rPr>
          <w:rFonts w:ascii="Times New Roman" w:hAnsi="Times New Roman"/>
          <w:b/>
          <w:kern w:val="0"/>
          <w:sz w:val="24"/>
          <w:szCs w:val="24"/>
        </w:rPr>
      </w:pPr>
    </w:p>
    <w:p w14:paraId="2193BA0C">
      <w:pPr>
        <w:autoSpaceDE w:val="0"/>
        <w:autoSpaceDN w:val="0"/>
        <w:adjustRightInd w:val="0"/>
        <w:spacing w:before="120" w:line="440" w:lineRule="exact"/>
        <w:jc w:val="center"/>
        <w:rPr>
          <w:rFonts w:ascii="Times New Roman" w:hAnsi="Times New Roman"/>
          <w:b/>
          <w:kern w:val="0"/>
          <w:sz w:val="24"/>
          <w:szCs w:val="24"/>
        </w:rPr>
      </w:pPr>
    </w:p>
    <w:p w14:paraId="098A0DAD">
      <w:pPr>
        <w:spacing w:line="440" w:lineRule="exact"/>
        <w:ind w:right="600"/>
        <w:rPr>
          <w:rFonts w:ascii="Times New Roman" w:hAnsi="Times New Roman"/>
          <w:kern w:val="0"/>
          <w:sz w:val="24"/>
        </w:rPr>
      </w:pPr>
    </w:p>
    <w:p w14:paraId="2CBD75BF">
      <w:pPr>
        <w:spacing w:line="440" w:lineRule="exact"/>
        <w:ind w:right="600"/>
        <w:rPr>
          <w:rFonts w:ascii="Times New Roman" w:hAnsi="Times New Roman"/>
          <w:kern w:val="0"/>
          <w:sz w:val="24"/>
        </w:rPr>
      </w:pPr>
    </w:p>
    <w:p w14:paraId="4C21B2CA">
      <w:pPr>
        <w:spacing w:line="440" w:lineRule="exact"/>
        <w:ind w:right="600"/>
        <w:rPr>
          <w:rFonts w:ascii="Times New Roman" w:hAnsi="Times New Roman"/>
          <w:kern w:val="0"/>
          <w:sz w:val="24"/>
        </w:rPr>
      </w:pPr>
    </w:p>
    <w:p w14:paraId="0F73B1F9">
      <w:pPr>
        <w:spacing w:line="440" w:lineRule="exact"/>
        <w:ind w:right="600"/>
        <w:rPr>
          <w:rFonts w:ascii="Times New Roman" w:hAnsi="Times New Roman"/>
          <w:kern w:val="0"/>
          <w:sz w:val="24"/>
        </w:rPr>
      </w:pPr>
    </w:p>
    <w:p w14:paraId="5BC8DBA6">
      <w:pPr>
        <w:spacing w:line="440" w:lineRule="exact"/>
        <w:jc w:val="center"/>
        <w:rPr>
          <w:rFonts w:ascii="Times New Roman" w:hAnsi="Times New Roman"/>
          <w:b/>
          <w:bCs/>
          <w:sz w:val="28"/>
          <w:szCs w:val="28"/>
        </w:rPr>
        <w:sectPr>
          <w:footerReference r:id="rId8" w:type="first"/>
          <w:headerReference r:id="rId6" w:type="default"/>
          <w:footerReference r:id="rId7" w:type="default"/>
          <w:pgSz w:w="11906" w:h="16838"/>
          <w:pgMar w:top="1440" w:right="1274" w:bottom="1440" w:left="1440" w:header="851" w:footer="992" w:gutter="0"/>
          <w:pgNumType w:fmt="numberInDash" w:start="1"/>
          <w:cols w:space="720" w:num="1"/>
          <w:titlePg/>
          <w:docGrid w:type="lines" w:linePitch="312" w:charSpace="0"/>
        </w:sectPr>
      </w:pPr>
    </w:p>
    <w:p w14:paraId="25F85C17">
      <w:pPr>
        <w:numPr>
          <w:ilvl w:val="0"/>
          <w:numId w:val="12"/>
        </w:num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资质文件</w:t>
      </w:r>
    </w:p>
    <w:p w14:paraId="27F6C878">
      <w:pPr>
        <w:numPr>
          <w:ilvl w:val="0"/>
          <w:numId w:val="14"/>
        </w:numPr>
        <w:spacing w:line="440" w:lineRule="exact"/>
        <w:rPr>
          <w:rFonts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营业执照</w:t>
      </w:r>
    </w:p>
    <w:p w14:paraId="4305EDA3">
      <w:pPr>
        <w:numPr>
          <w:ilvl w:val="0"/>
          <w:numId w:val="8"/>
        </w:num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32"/>
          <w:szCs w:val="32"/>
        </w:rPr>
        <w:br w:type="page"/>
      </w:r>
    </w:p>
    <w:p w14:paraId="7C932565">
      <w:pPr>
        <w:numPr>
          <w:ilvl w:val="0"/>
          <w:numId w:val="14"/>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行业相关资格证书</w:t>
      </w:r>
    </w:p>
    <w:p w14:paraId="33DE1F9D">
      <w:pP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br w:type="page"/>
      </w:r>
    </w:p>
    <w:p w14:paraId="2F59F2E9">
      <w:pPr>
        <w:numPr>
          <w:ilvl w:val="0"/>
          <w:numId w:val="14"/>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类似项目业绩证明</w:t>
      </w:r>
    </w:p>
    <w:p w14:paraId="02C27C34">
      <w:pP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br w:type="page"/>
      </w:r>
    </w:p>
    <w:p w14:paraId="3EA33ECB">
      <w:pPr>
        <w:numPr>
          <w:ilvl w:val="0"/>
          <w:numId w:val="14"/>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近3年内无重大违法违规记录、未被列入失信被执行人名单、重大税收违法失信主体相关证明。</w:t>
      </w:r>
    </w:p>
    <w:p w14:paraId="604FA870">
      <w:pPr>
        <w:spacing w:line="440" w:lineRule="exact"/>
        <w:ind w:right="600"/>
        <w:rPr>
          <w:rFonts w:ascii="Times New Roman" w:hAnsi="Times New Roman"/>
          <w:kern w:val="0"/>
          <w:sz w:val="24"/>
          <w:highlight w:val="none"/>
        </w:rPr>
      </w:pPr>
    </w:p>
    <w:p w14:paraId="05FFC930">
      <w:pPr>
        <w:spacing w:line="440" w:lineRule="exact"/>
        <w:ind w:right="600"/>
        <w:rPr>
          <w:rFonts w:ascii="Times New Roman" w:hAnsi="Times New Roman"/>
          <w:kern w:val="0"/>
          <w:sz w:val="24"/>
          <w:highlight w:val="none"/>
        </w:rPr>
      </w:pPr>
    </w:p>
    <w:p w14:paraId="2B1D3323">
      <w:pPr>
        <w:spacing w:line="440" w:lineRule="exact"/>
        <w:ind w:right="600"/>
        <w:rPr>
          <w:rFonts w:ascii="Times New Roman" w:hAnsi="Times New Roman"/>
          <w:kern w:val="0"/>
          <w:sz w:val="24"/>
          <w:highlight w:val="none"/>
        </w:rPr>
      </w:pPr>
    </w:p>
    <w:p w14:paraId="1911912E">
      <w:pPr>
        <w:spacing w:line="440" w:lineRule="exact"/>
        <w:ind w:right="600"/>
        <w:rPr>
          <w:rFonts w:ascii="Times New Roman" w:hAnsi="Times New Roman"/>
          <w:kern w:val="0"/>
          <w:sz w:val="24"/>
          <w:highlight w:val="none"/>
        </w:rPr>
      </w:pPr>
    </w:p>
    <w:p w14:paraId="20FF3FE3">
      <w:pPr>
        <w:spacing w:line="440" w:lineRule="exact"/>
        <w:ind w:right="600"/>
        <w:rPr>
          <w:rFonts w:ascii="Times New Roman" w:hAnsi="Times New Roman"/>
          <w:kern w:val="0"/>
          <w:sz w:val="24"/>
          <w:highlight w:val="none"/>
        </w:rPr>
      </w:pPr>
    </w:p>
    <w:p w14:paraId="3148A3FA">
      <w:pPr>
        <w:spacing w:line="440" w:lineRule="exact"/>
        <w:ind w:right="600"/>
        <w:rPr>
          <w:rFonts w:ascii="Times New Roman" w:hAnsi="Times New Roman"/>
          <w:kern w:val="0"/>
          <w:sz w:val="24"/>
          <w:highlight w:val="none"/>
        </w:rPr>
      </w:pPr>
    </w:p>
    <w:p w14:paraId="41F2E947">
      <w:pPr>
        <w:spacing w:line="440" w:lineRule="exact"/>
        <w:ind w:right="600"/>
        <w:rPr>
          <w:rFonts w:ascii="Times New Roman" w:hAnsi="Times New Roman"/>
          <w:kern w:val="0"/>
          <w:sz w:val="24"/>
          <w:highlight w:val="none"/>
        </w:rPr>
      </w:pPr>
    </w:p>
    <w:p w14:paraId="0AC4783E">
      <w:pPr>
        <w:spacing w:line="440" w:lineRule="exact"/>
        <w:ind w:right="600"/>
        <w:rPr>
          <w:rFonts w:ascii="Times New Roman" w:hAnsi="Times New Roman"/>
          <w:kern w:val="0"/>
          <w:sz w:val="24"/>
          <w:highlight w:val="none"/>
        </w:rPr>
      </w:pPr>
    </w:p>
    <w:p w14:paraId="6891EC6B">
      <w:pPr>
        <w:spacing w:line="440" w:lineRule="exact"/>
        <w:ind w:right="600"/>
        <w:rPr>
          <w:rFonts w:ascii="Times New Roman" w:hAnsi="Times New Roman"/>
          <w:kern w:val="0"/>
          <w:sz w:val="24"/>
          <w:highlight w:val="none"/>
        </w:rPr>
      </w:pPr>
    </w:p>
    <w:p w14:paraId="35A40BBB">
      <w:pPr>
        <w:spacing w:line="440" w:lineRule="exact"/>
        <w:ind w:right="600"/>
        <w:rPr>
          <w:rFonts w:ascii="Times New Roman" w:hAnsi="Times New Roman"/>
          <w:kern w:val="0"/>
          <w:sz w:val="24"/>
          <w:highlight w:val="none"/>
        </w:rPr>
      </w:pPr>
    </w:p>
    <w:p w14:paraId="0E883238">
      <w:pPr>
        <w:spacing w:line="440" w:lineRule="exact"/>
        <w:ind w:right="600"/>
        <w:rPr>
          <w:rFonts w:ascii="Times New Roman" w:hAnsi="Times New Roman"/>
          <w:kern w:val="0"/>
          <w:sz w:val="24"/>
          <w:highlight w:val="none"/>
        </w:rPr>
      </w:pPr>
    </w:p>
    <w:p w14:paraId="0238E3E1">
      <w:pPr>
        <w:spacing w:line="440" w:lineRule="exact"/>
        <w:ind w:right="600"/>
        <w:rPr>
          <w:rFonts w:ascii="Times New Roman" w:hAnsi="Times New Roman"/>
          <w:kern w:val="0"/>
          <w:sz w:val="24"/>
          <w:highlight w:val="none"/>
        </w:rPr>
      </w:pPr>
    </w:p>
    <w:p w14:paraId="45550CF5">
      <w:pPr>
        <w:spacing w:line="440" w:lineRule="exact"/>
        <w:ind w:right="600"/>
        <w:rPr>
          <w:rFonts w:ascii="Times New Roman" w:hAnsi="Times New Roman"/>
          <w:kern w:val="0"/>
          <w:sz w:val="24"/>
          <w:highlight w:val="none"/>
        </w:rPr>
      </w:pPr>
    </w:p>
    <w:p w14:paraId="4B041359">
      <w:pPr>
        <w:spacing w:line="440" w:lineRule="exact"/>
        <w:ind w:right="600"/>
        <w:rPr>
          <w:rFonts w:ascii="Times New Roman" w:hAnsi="Times New Roman"/>
          <w:kern w:val="0"/>
          <w:sz w:val="24"/>
          <w:highlight w:val="none"/>
        </w:rPr>
      </w:pPr>
    </w:p>
    <w:p w14:paraId="50C7A382">
      <w:pPr>
        <w:spacing w:line="440" w:lineRule="exact"/>
        <w:ind w:right="600"/>
        <w:rPr>
          <w:rFonts w:ascii="Times New Roman" w:hAnsi="Times New Roman"/>
          <w:kern w:val="0"/>
          <w:sz w:val="24"/>
          <w:highlight w:val="none"/>
        </w:rPr>
      </w:pPr>
    </w:p>
    <w:p w14:paraId="3E0DCDDF">
      <w:pPr>
        <w:spacing w:line="440" w:lineRule="exact"/>
        <w:ind w:right="600"/>
        <w:rPr>
          <w:rFonts w:ascii="Times New Roman" w:hAnsi="Times New Roman"/>
          <w:kern w:val="0"/>
          <w:sz w:val="24"/>
          <w:highlight w:val="none"/>
        </w:rPr>
      </w:pPr>
    </w:p>
    <w:p w14:paraId="03AFC2B2">
      <w:pPr>
        <w:spacing w:line="440" w:lineRule="exact"/>
        <w:ind w:right="600"/>
        <w:rPr>
          <w:rFonts w:ascii="Times New Roman" w:hAnsi="Times New Roman"/>
          <w:kern w:val="0"/>
          <w:sz w:val="24"/>
          <w:highlight w:val="none"/>
        </w:rPr>
      </w:pPr>
    </w:p>
    <w:p w14:paraId="5A9914C3">
      <w:pPr>
        <w:spacing w:line="440" w:lineRule="exact"/>
        <w:ind w:right="600"/>
        <w:rPr>
          <w:rFonts w:ascii="Times New Roman" w:hAnsi="Times New Roman"/>
          <w:kern w:val="0"/>
          <w:sz w:val="24"/>
          <w:highlight w:val="none"/>
        </w:rPr>
      </w:pPr>
    </w:p>
    <w:p w14:paraId="426DB576">
      <w:pPr>
        <w:spacing w:line="440" w:lineRule="exact"/>
        <w:ind w:right="600"/>
        <w:rPr>
          <w:rFonts w:ascii="Times New Roman" w:hAnsi="Times New Roman"/>
          <w:kern w:val="0"/>
          <w:sz w:val="24"/>
          <w:highlight w:val="none"/>
        </w:rPr>
      </w:pPr>
    </w:p>
    <w:p w14:paraId="13502807">
      <w:pPr>
        <w:spacing w:line="440" w:lineRule="exact"/>
        <w:ind w:right="600"/>
        <w:rPr>
          <w:rFonts w:ascii="Times New Roman" w:hAnsi="Times New Roman"/>
          <w:kern w:val="0"/>
          <w:sz w:val="24"/>
          <w:highlight w:val="none"/>
        </w:rPr>
      </w:pPr>
    </w:p>
    <w:p w14:paraId="3AF2AEB9">
      <w:pPr>
        <w:spacing w:line="440" w:lineRule="exact"/>
        <w:ind w:right="600"/>
        <w:rPr>
          <w:rFonts w:ascii="Times New Roman" w:hAnsi="Times New Roman"/>
          <w:kern w:val="0"/>
          <w:sz w:val="24"/>
          <w:highlight w:val="none"/>
        </w:rPr>
      </w:pPr>
    </w:p>
    <w:p w14:paraId="37CB662F">
      <w:pPr>
        <w:spacing w:line="440" w:lineRule="exact"/>
        <w:ind w:right="600"/>
        <w:rPr>
          <w:rFonts w:ascii="Times New Roman" w:hAnsi="Times New Roman"/>
          <w:kern w:val="0"/>
          <w:sz w:val="24"/>
          <w:highlight w:val="none"/>
        </w:rPr>
      </w:pPr>
    </w:p>
    <w:p w14:paraId="6A2F1075">
      <w:pPr>
        <w:autoSpaceDE w:val="0"/>
        <w:autoSpaceDN w:val="0"/>
        <w:adjustRightInd w:val="0"/>
        <w:spacing w:before="25" w:after="25" w:line="440" w:lineRule="exact"/>
        <w:jc w:val="left"/>
        <w:rPr>
          <w:rFonts w:ascii="Times New Roman" w:hAnsi="Times New Roman"/>
          <w:sz w:val="24"/>
          <w:szCs w:val="24"/>
          <w:highlight w:val="none"/>
        </w:rPr>
      </w:pPr>
    </w:p>
    <w:p w14:paraId="14B8B51C">
      <w:pPr>
        <w:autoSpaceDE w:val="0"/>
        <w:autoSpaceDN w:val="0"/>
        <w:adjustRightInd w:val="0"/>
        <w:spacing w:before="25" w:after="25" w:line="440" w:lineRule="exact"/>
        <w:jc w:val="left"/>
        <w:rPr>
          <w:rFonts w:ascii="Times New Roman" w:hAnsi="Times New Roman"/>
          <w:sz w:val="24"/>
          <w:szCs w:val="24"/>
          <w:highlight w:val="none"/>
        </w:rPr>
      </w:pPr>
    </w:p>
    <w:p w14:paraId="3D780757">
      <w:pPr>
        <w:autoSpaceDE w:val="0"/>
        <w:autoSpaceDN w:val="0"/>
        <w:adjustRightInd w:val="0"/>
        <w:spacing w:before="25" w:after="25" w:line="440" w:lineRule="exact"/>
        <w:jc w:val="left"/>
        <w:rPr>
          <w:rFonts w:ascii="Times New Roman" w:hAnsi="Times New Roman"/>
          <w:sz w:val="24"/>
          <w:szCs w:val="24"/>
          <w:highlight w:val="none"/>
        </w:rPr>
      </w:pPr>
    </w:p>
    <w:p w14:paraId="62A7889B">
      <w:pPr>
        <w:autoSpaceDE w:val="0"/>
        <w:autoSpaceDN w:val="0"/>
        <w:adjustRightInd w:val="0"/>
        <w:spacing w:before="25" w:after="25" w:line="440" w:lineRule="exact"/>
        <w:jc w:val="left"/>
        <w:rPr>
          <w:rFonts w:ascii="Times New Roman" w:hAnsi="Times New Roman"/>
          <w:sz w:val="24"/>
          <w:szCs w:val="24"/>
          <w:highlight w:val="none"/>
        </w:rPr>
      </w:pPr>
    </w:p>
    <w:p w14:paraId="78DEBCCF">
      <w:pPr>
        <w:autoSpaceDE w:val="0"/>
        <w:autoSpaceDN w:val="0"/>
        <w:adjustRightInd w:val="0"/>
        <w:spacing w:before="25" w:after="25" w:line="440" w:lineRule="exact"/>
        <w:jc w:val="center"/>
        <w:rPr>
          <w:rFonts w:ascii="Times New Roman" w:hAnsi="Times New Roman"/>
          <w:b/>
          <w:bCs/>
          <w:sz w:val="28"/>
          <w:szCs w:val="28"/>
          <w:highlight w:val="none"/>
        </w:rPr>
      </w:pPr>
    </w:p>
    <w:p w14:paraId="1856BF21">
      <w:pP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5527895A">
      <w:pPr>
        <w:numPr>
          <w:ilvl w:val="0"/>
          <w:numId w:val="12"/>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报价函</w:t>
      </w:r>
    </w:p>
    <w:tbl>
      <w:tblPr>
        <w:tblStyle w:val="10"/>
        <w:tblW w:w="8599" w:type="dxa"/>
        <w:tblInd w:w="0" w:type="dxa"/>
        <w:tblLayout w:type="autofit"/>
        <w:tblCellMar>
          <w:top w:w="0" w:type="dxa"/>
          <w:left w:w="0" w:type="dxa"/>
          <w:bottom w:w="0" w:type="dxa"/>
          <w:right w:w="0" w:type="dxa"/>
        </w:tblCellMar>
      </w:tblPr>
      <w:tblGrid>
        <w:gridCol w:w="3744"/>
        <w:gridCol w:w="4855"/>
      </w:tblGrid>
      <w:tr w14:paraId="317C6537">
        <w:tblPrEx>
          <w:tblCellMar>
            <w:top w:w="0" w:type="dxa"/>
            <w:left w:w="0" w:type="dxa"/>
            <w:bottom w:w="0" w:type="dxa"/>
            <w:right w:w="0" w:type="dxa"/>
          </w:tblCellMar>
        </w:tblPrEx>
        <w:trPr>
          <w:trHeight w:val="780" w:hRule="atLeast"/>
        </w:trPr>
        <w:tc>
          <w:tcPr>
            <w:tcW w:w="3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BFDFA">
            <w:pPr>
              <w:widowControl/>
              <w:jc w:val="center"/>
              <w:textAlignment w:val="center"/>
              <w:rPr>
                <w:rFonts w:ascii="宋体" w:hAnsi="宋体" w:cs="宋体"/>
                <w:b/>
                <w:bCs/>
                <w:sz w:val="22"/>
                <w:highlight w:val="none"/>
              </w:rPr>
            </w:pPr>
            <w:r>
              <w:rPr>
                <w:rFonts w:hint="eastAsia" w:ascii="宋体" w:hAnsi="宋体" w:cs="宋体"/>
                <w:b/>
                <w:bCs/>
                <w:kern w:val="0"/>
                <w:sz w:val="22"/>
                <w:highlight w:val="none"/>
              </w:rPr>
              <w:t>项目</w:t>
            </w:r>
          </w:p>
        </w:tc>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C5482">
            <w:pPr>
              <w:widowControl/>
              <w:jc w:val="center"/>
              <w:textAlignment w:val="center"/>
              <w:rPr>
                <w:rFonts w:ascii="宋体" w:hAnsi="宋体" w:cs="宋体"/>
                <w:b/>
                <w:bCs/>
                <w:sz w:val="22"/>
                <w:highlight w:val="none"/>
              </w:rPr>
            </w:pPr>
            <w:r>
              <w:rPr>
                <w:rFonts w:hint="eastAsia" w:ascii="宋体" w:hAnsi="宋体" w:cs="宋体"/>
                <w:b/>
                <w:bCs/>
                <w:kern w:val="0"/>
                <w:sz w:val="22"/>
                <w:highlight w:val="none"/>
              </w:rPr>
              <w:t>管理费</w:t>
            </w:r>
          </w:p>
        </w:tc>
      </w:tr>
      <w:tr w14:paraId="0598229A">
        <w:tblPrEx>
          <w:tblCellMar>
            <w:top w:w="0" w:type="dxa"/>
            <w:left w:w="0" w:type="dxa"/>
            <w:bottom w:w="0" w:type="dxa"/>
            <w:right w:w="0" w:type="dxa"/>
          </w:tblCellMar>
        </w:tblPrEx>
        <w:trPr>
          <w:trHeight w:val="984" w:hRule="atLeast"/>
        </w:trPr>
        <w:tc>
          <w:tcPr>
            <w:tcW w:w="3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80A18A">
            <w:pPr>
              <w:widowControl/>
              <w:jc w:val="center"/>
              <w:textAlignment w:val="center"/>
              <w:rPr>
                <w:rFonts w:ascii="宋体" w:hAnsi="宋体" w:cs="宋体"/>
                <w:sz w:val="22"/>
                <w:highlight w:val="none"/>
              </w:rPr>
            </w:pPr>
            <w:r>
              <w:rPr>
                <w:rFonts w:hint="eastAsia" w:ascii="宋体" w:hAnsi="宋体" w:cs="宋体"/>
                <w:kern w:val="0"/>
                <w:sz w:val="22"/>
                <w:highlight w:val="none"/>
              </w:rPr>
              <w:t>导购员（含</w:t>
            </w:r>
            <w:r>
              <w:rPr>
                <w:rFonts w:hint="eastAsia" w:ascii="宋体" w:hAnsi="宋体" w:cs="宋体"/>
                <w:kern w:val="0"/>
                <w:sz w:val="22"/>
                <w:highlight w:val="none"/>
                <w:lang w:val="en-US" w:eastAsia="zh-CN"/>
              </w:rPr>
              <w:t>活动队、</w:t>
            </w:r>
            <w:r>
              <w:rPr>
                <w:rFonts w:hint="eastAsia" w:ascii="宋体" w:hAnsi="宋体" w:cs="宋体"/>
                <w:kern w:val="0"/>
                <w:sz w:val="22"/>
                <w:highlight w:val="none"/>
              </w:rPr>
              <w:t>长促、临促）</w:t>
            </w:r>
          </w:p>
        </w:tc>
        <w:tc>
          <w:tcPr>
            <w:tcW w:w="485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8CB53">
            <w:pPr>
              <w:widowControl/>
              <w:jc w:val="center"/>
              <w:textAlignment w:val="center"/>
              <w:rPr>
                <w:rFonts w:ascii="宋体" w:hAnsi="宋体" w:cs="宋体"/>
                <w:sz w:val="22"/>
                <w:highlight w:val="none"/>
              </w:rPr>
            </w:pPr>
          </w:p>
        </w:tc>
      </w:tr>
    </w:tbl>
    <w:p w14:paraId="5E8B702B">
      <w:pPr>
        <w:numPr>
          <w:ilvl w:val="0"/>
          <w:numId w:val="0"/>
        </w:numPr>
        <w:ind w:left="420" w:leftChars="0"/>
        <w:jc w:val="both"/>
        <w:rPr>
          <w:rFonts w:hint="default" w:ascii="方正黑体_GBK" w:hAnsi="方正黑体_GBK" w:eastAsia="方正黑体_GBK" w:cs="方正黑体_GBK"/>
          <w:sz w:val="22"/>
          <w:szCs w:val="22"/>
          <w:highlight w:val="none"/>
          <w:lang w:val="en-US" w:eastAsia="zh-CN"/>
        </w:rPr>
      </w:pPr>
      <w:r>
        <w:rPr>
          <w:rFonts w:hint="eastAsia" w:ascii="方正黑体_GBK" w:hAnsi="方正黑体_GBK" w:eastAsia="方正黑体_GBK" w:cs="方正黑体_GBK"/>
          <w:sz w:val="22"/>
          <w:szCs w:val="22"/>
          <w:highlight w:val="none"/>
          <w:lang w:val="en-US" w:eastAsia="zh-CN"/>
        </w:rPr>
        <w:t>备注：该项管理费为所有服务费用的百分比，服务费包括人员工资、绩效奖金、社会保险费用、法定福利、节假日加班报酬、管理费及商业保险费用等，以上报价均含税。</w:t>
      </w:r>
    </w:p>
    <w:p w14:paraId="6CE71E13">
      <w:pPr>
        <w:numPr>
          <w:ilvl w:val="0"/>
          <w:numId w:val="0"/>
        </w:numPr>
        <w:ind w:left="420" w:leftChars="0"/>
        <w:jc w:val="both"/>
        <w:rPr>
          <w:rFonts w:ascii="方正黑体_GBK" w:hAnsi="方正黑体_GBK" w:eastAsia="方正黑体_GBK" w:cs="方正黑体_GBK"/>
          <w:sz w:val="32"/>
          <w:szCs w:val="32"/>
          <w:highlight w:val="none"/>
        </w:rPr>
      </w:pPr>
    </w:p>
    <w:p w14:paraId="44C65ADA">
      <w:pPr>
        <w:numPr>
          <w:ilvl w:val="0"/>
          <w:numId w:val="0"/>
        </w:numPr>
        <w:ind w:left="420" w:leftChars="0"/>
        <w:jc w:val="both"/>
        <w:rPr>
          <w:rFonts w:ascii="方正黑体_GBK" w:hAnsi="方正黑体_GBK" w:eastAsia="方正黑体_GBK" w:cs="方正黑体_GBK"/>
          <w:sz w:val="32"/>
          <w:szCs w:val="32"/>
          <w:highlight w:val="none"/>
        </w:rPr>
      </w:pPr>
    </w:p>
    <w:p w14:paraId="58FAE27F">
      <w:pPr>
        <w:numPr>
          <w:ilvl w:val="0"/>
          <w:numId w:val="0"/>
        </w:numPr>
        <w:ind w:left="420" w:leftChars="0"/>
        <w:jc w:val="both"/>
        <w:rPr>
          <w:rFonts w:ascii="方正黑体_GBK" w:hAnsi="方正黑体_GBK" w:eastAsia="方正黑体_GBK" w:cs="方正黑体_GBK"/>
          <w:sz w:val="32"/>
          <w:szCs w:val="32"/>
          <w:highlight w:val="none"/>
        </w:rPr>
      </w:pPr>
    </w:p>
    <w:p w14:paraId="3CB2E2EE">
      <w:pPr>
        <w:numPr>
          <w:ilvl w:val="0"/>
          <w:numId w:val="0"/>
        </w:numPr>
        <w:ind w:left="420" w:leftChars="0"/>
        <w:jc w:val="both"/>
        <w:rPr>
          <w:rFonts w:ascii="方正黑体_GBK" w:hAnsi="方正黑体_GBK" w:eastAsia="方正黑体_GBK" w:cs="方正黑体_GBK"/>
          <w:sz w:val="32"/>
          <w:szCs w:val="32"/>
          <w:highlight w:val="none"/>
        </w:rPr>
      </w:pPr>
    </w:p>
    <w:p w14:paraId="43E52637">
      <w:pPr>
        <w:numPr>
          <w:ilvl w:val="0"/>
          <w:numId w:val="0"/>
        </w:numPr>
        <w:ind w:left="420" w:leftChars="0"/>
        <w:jc w:val="both"/>
        <w:rPr>
          <w:rFonts w:ascii="方正黑体_GBK" w:hAnsi="方正黑体_GBK" w:eastAsia="方正黑体_GBK" w:cs="方正黑体_GBK"/>
          <w:sz w:val="32"/>
          <w:szCs w:val="32"/>
          <w:highlight w:val="none"/>
        </w:rPr>
      </w:pPr>
    </w:p>
    <w:p w14:paraId="4526A02D">
      <w:pPr>
        <w:numPr>
          <w:ilvl w:val="0"/>
          <w:numId w:val="0"/>
        </w:numPr>
        <w:ind w:left="420" w:leftChars="0"/>
        <w:jc w:val="both"/>
        <w:rPr>
          <w:rFonts w:ascii="方正黑体_GBK" w:hAnsi="方正黑体_GBK" w:eastAsia="方正黑体_GBK" w:cs="方正黑体_GBK"/>
          <w:sz w:val="32"/>
          <w:szCs w:val="32"/>
          <w:highlight w:val="none"/>
        </w:rPr>
      </w:pPr>
    </w:p>
    <w:p w14:paraId="74DFC875">
      <w:pPr>
        <w:numPr>
          <w:ilvl w:val="0"/>
          <w:numId w:val="0"/>
        </w:numPr>
        <w:ind w:left="420" w:leftChars="0"/>
        <w:jc w:val="both"/>
        <w:rPr>
          <w:rFonts w:ascii="方正黑体_GBK" w:hAnsi="方正黑体_GBK" w:eastAsia="方正黑体_GBK" w:cs="方正黑体_GBK"/>
          <w:sz w:val="32"/>
          <w:szCs w:val="32"/>
          <w:highlight w:val="none"/>
        </w:rPr>
      </w:pPr>
    </w:p>
    <w:p w14:paraId="72E45D2B">
      <w:pPr>
        <w:numPr>
          <w:ilvl w:val="0"/>
          <w:numId w:val="0"/>
        </w:numPr>
        <w:ind w:left="420" w:leftChars="0"/>
        <w:jc w:val="both"/>
        <w:rPr>
          <w:rFonts w:ascii="方正黑体_GBK" w:hAnsi="方正黑体_GBK" w:eastAsia="方正黑体_GBK" w:cs="方正黑体_GBK"/>
          <w:sz w:val="32"/>
          <w:szCs w:val="32"/>
          <w:highlight w:val="none"/>
        </w:rPr>
      </w:pPr>
    </w:p>
    <w:p w14:paraId="132752C0">
      <w:pPr>
        <w:numPr>
          <w:ilvl w:val="0"/>
          <w:numId w:val="0"/>
        </w:numPr>
        <w:ind w:left="420" w:leftChars="0"/>
        <w:jc w:val="both"/>
        <w:rPr>
          <w:rFonts w:ascii="方正黑体_GBK" w:hAnsi="方正黑体_GBK" w:eastAsia="方正黑体_GBK" w:cs="方正黑体_GBK"/>
          <w:sz w:val="32"/>
          <w:szCs w:val="32"/>
          <w:highlight w:val="none"/>
        </w:rPr>
      </w:pPr>
    </w:p>
    <w:p w14:paraId="080A80D0">
      <w:pPr>
        <w:numPr>
          <w:ilvl w:val="0"/>
          <w:numId w:val="0"/>
        </w:numPr>
        <w:ind w:left="420" w:leftChars="0"/>
        <w:jc w:val="both"/>
        <w:rPr>
          <w:rFonts w:ascii="方正黑体_GBK" w:hAnsi="方正黑体_GBK" w:eastAsia="方正黑体_GBK" w:cs="方正黑体_GBK"/>
          <w:sz w:val="32"/>
          <w:szCs w:val="32"/>
          <w:highlight w:val="none"/>
        </w:rPr>
      </w:pPr>
    </w:p>
    <w:p w14:paraId="3AA52C7A">
      <w:pPr>
        <w:numPr>
          <w:ilvl w:val="0"/>
          <w:numId w:val="0"/>
        </w:numPr>
        <w:ind w:left="420" w:leftChars="0"/>
        <w:jc w:val="both"/>
        <w:rPr>
          <w:rFonts w:ascii="方正黑体_GBK" w:hAnsi="方正黑体_GBK" w:eastAsia="方正黑体_GBK" w:cs="方正黑体_GBK"/>
          <w:sz w:val="32"/>
          <w:szCs w:val="32"/>
          <w:highlight w:val="none"/>
        </w:rPr>
      </w:pPr>
    </w:p>
    <w:p w14:paraId="677B2569">
      <w:pPr>
        <w:numPr>
          <w:ilvl w:val="0"/>
          <w:numId w:val="0"/>
        </w:numPr>
        <w:ind w:left="420" w:leftChars="0"/>
        <w:jc w:val="both"/>
        <w:rPr>
          <w:rFonts w:ascii="方正黑体_GBK" w:hAnsi="方正黑体_GBK" w:eastAsia="方正黑体_GBK" w:cs="方正黑体_GBK"/>
          <w:sz w:val="32"/>
          <w:szCs w:val="32"/>
          <w:highlight w:val="none"/>
        </w:rPr>
      </w:pPr>
    </w:p>
    <w:p w14:paraId="422BE220">
      <w:pPr>
        <w:numPr>
          <w:ilvl w:val="0"/>
          <w:numId w:val="0"/>
        </w:numPr>
        <w:ind w:left="420" w:leftChars="0"/>
        <w:jc w:val="both"/>
        <w:rPr>
          <w:rFonts w:ascii="方正黑体_GBK" w:hAnsi="方正黑体_GBK" w:eastAsia="方正黑体_GBK" w:cs="方正黑体_GBK"/>
          <w:sz w:val="32"/>
          <w:szCs w:val="32"/>
          <w:highlight w:val="none"/>
        </w:rPr>
      </w:pPr>
    </w:p>
    <w:p w14:paraId="3718F227">
      <w:pPr>
        <w:numPr>
          <w:ilvl w:val="0"/>
          <w:numId w:val="0"/>
        </w:numPr>
        <w:ind w:left="420" w:leftChars="0"/>
        <w:jc w:val="both"/>
        <w:rPr>
          <w:rFonts w:ascii="方正黑体_GBK" w:hAnsi="方正黑体_GBK" w:eastAsia="方正黑体_GBK" w:cs="方正黑体_GBK"/>
          <w:sz w:val="32"/>
          <w:szCs w:val="32"/>
          <w:highlight w:val="none"/>
        </w:rPr>
      </w:pPr>
    </w:p>
    <w:p w14:paraId="463CDC29">
      <w:pPr>
        <w:numPr>
          <w:ilvl w:val="0"/>
          <w:numId w:val="0"/>
        </w:numPr>
        <w:ind w:left="420" w:leftChars="0"/>
        <w:jc w:val="both"/>
        <w:rPr>
          <w:rFonts w:ascii="方正黑体_GBK" w:hAnsi="方正黑体_GBK" w:eastAsia="方正黑体_GBK" w:cs="方正黑体_GBK"/>
          <w:sz w:val="32"/>
          <w:szCs w:val="32"/>
          <w:highlight w:val="none"/>
        </w:rPr>
      </w:pPr>
    </w:p>
    <w:p w14:paraId="5C63BC41">
      <w:pPr>
        <w:numPr>
          <w:ilvl w:val="0"/>
          <w:numId w:val="0"/>
        </w:numPr>
        <w:ind w:left="420" w:leftChars="0"/>
        <w:jc w:val="both"/>
        <w:rPr>
          <w:rFonts w:ascii="方正黑体_GBK" w:hAnsi="方正黑体_GBK" w:eastAsia="方正黑体_GBK" w:cs="方正黑体_GBK"/>
          <w:sz w:val="32"/>
          <w:szCs w:val="32"/>
          <w:highlight w:val="none"/>
        </w:rPr>
      </w:pPr>
    </w:p>
    <w:p w14:paraId="67EFEECB">
      <w:pPr>
        <w:numPr>
          <w:ilvl w:val="0"/>
          <w:numId w:val="0"/>
        </w:numPr>
        <w:ind w:left="420" w:leftChars="0"/>
        <w:jc w:val="both"/>
        <w:rPr>
          <w:rFonts w:ascii="方正黑体_GBK" w:hAnsi="方正黑体_GBK" w:eastAsia="方正黑体_GBK" w:cs="方正黑体_GBK"/>
          <w:sz w:val="32"/>
          <w:szCs w:val="32"/>
          <w:highlight w:val="none"/>
        </w:rPr>
      </w:pPr>
    </w:p>
    <w:p w14:paraId="4AC6E2C5">
      <w:pPr>
        <w:numPr>
          <w:ilvl w:val="0"/>
          <w:numId w:val="12"/>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商务及技术文件</w:t>
      </w:r>
    </w:p>
    <w:p w14:paraId="2D7C95C6">
      <w:pPr>
        <w:numPr>
          <w:ilvl w:val="0"/>
          <w:numId w:val="15"/>
        </w:numPr>
        <w:spacing w:line="440" w:lineRule="exac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法定代表人身份证明</w:t>
      </w:r>
    </w:p>
    <w:p w14:paraId="1C540BF5">
      <w:pPr>
        <w:spacing w:line="360" w:lineRule="auto"/>
        <w:rPr>
          <w:rFonts w:ascii="方正仿宋_GBK" w:hAnsi="方正仿宋_GBK" w:eastAsia="方正仿宋_GBK" w:cs="方正仿宋_GBK"/>
          <w:sz w:val="24"/>
          <w:szCs w:val="24"/>
          <w:highlight w:val="none"/>
        </w:rPr>
      </w:pPr>
    </w:p>
    <w:p w14:paraId="1B494299">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 标 人：</w:t>
      </w:r>
      <w:r>
        <w:rPr>
          <w:rFonts w:hint="eastAsia" w:ascii="方正仿宋_GBK" w:hAnsi="方正仿宋_GBK" w:eastAsia="方正仿宋_GBK" w:cs="方正仿宋_GBK"/>
          <w:sz w:val="28"/>
          <w:szCs w:val="28"/>
          <w:highlight w:val="none"/>
          <w:u w:val="single"/>
        </w:rPr>
        <w:t xml:space="preserve">                                                        </w:t>
      </w:r>
    </w:p>
    <w:p w14:paraId="338DBB14">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单位性质：</w:t>
      </w:r>
      <w:r>
        <w:rPr>
          <w:rFonts w:hint="eastAsia" w:ascii="方正仿宋_GBK" w:hAnsi="方正仿宋_GBK" w:eastAsia="方正仿宋_GBK" w:cs="方正仿宋_GBK"/>
          <w:sz w:val="28"/>
          <w:szCs w:val="28"/>
          <w:highlight w:val="none"/>
          <w:u w:val="single"/>
        </w:rPr>
        <w:t xml:space="preserve">                                                        </w:t>
      </w:r>
    </w:p>
    <w:p w14:paraId="5A766015">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    址：</w:t>
      </w:r>
      <w:r>
        <w:rPr>
          <w:rFonts w:hint="eastAsia" w:ascii="方正仿宋_GBK" w:hAnsi="方正仿宋_GBK" w:eastAsia="方正仿宋_GBK" w:cs="方正仿宋_GBK"/>
          <w:sz w:val="28"/>
          <w:szCs w:val="28"/>
          <w:highlight w:val="none"/>
          <w:u w:val="single"/>
        </w:rPr>
        <w:t xml:space="preserve">                                                        </w:t>
      </w:r>
    </w:p>
    <w:p w14:paraId="7E051E66">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成立时间：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p>
    <w:p w14:paraId="461E6F6A">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经营期限：</w:t>
      </w:r>
      <w:r>
        <w:rPr>
          <w:rFonts w:hint="eastAsia" w:ascii="方正仿宋_GBK" w:hAnsi="方正仿宋_GBK" w:eastAsia="方正仿宋_GBK" w:cs="方正仿宋_GBK"/>
          <w:sz w:val="28"/>
          <w:szCs w:val="28"/>
          <w:highlight w:val="none"/>
          <w:u w:val="single"/>
        </w:rPr>
        <w:t xml:space="preserve">                                                        </w:t>
      </w:r>
    </w:p>
    <w:p w14:paraId="4F4F9FD2">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姓    名：</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性        别：</w:t>
      </w:r>
      <w:r>
        <w:rPr>
          <w:rFonts w:hint="eastAsia" w:ascii="方正仿宋_GBK" w:hAnsi="方正仿宋_GBK" w:eastAsia="方正仿宋_GBK" w:cs="方正仿宋_GBK"/>
          <w:sz w:val="28"/>
          <w:szCs w:val="28"/>
          <w:highlight w:val="none"/>
          <w:u w:val="single"/>
        </w:rPr>
        <w:t xml:space="preserve">                </w:t>
      </w:r>
    </w:p>
    <w:p w14:paraId="31A9B4F0">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年    龄：</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        务：</w:t>
      </w:r>
      <w:r>
        <w:rPr>
          <w:rFonts w:hint="eastAsia" w:ascii="方正仿宋_GBK" w:hAnsi="方正仿宋_GBK" w:eastAsia="方正仿宋_GBK" w:cs="方正仿宋_GBK"/>
          <w:sz w:val="28"/>
          <w:szCs w:val="28"/>
          <w:highlight w:val="none"/>
          <w:u w:val="single"/>
        </w:rPr>
        <w:t xml:space="preserve">                </w:t>
      </w:r>
    </w:p>
    <w:p w14:paraId="275510E6">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（投标人名称）的法定代表人。</w:t>
      </w:r>
    </w:p>
    <w:p w14:paraId="7156F403">
      <w:pPr>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特此证明。</w:t>
      </w:r>
    </w:p>
    <w:p w14:paraId="5AC9D9E2">
      <w:pPr>
        <w:spacing w:line="360" w:lineRule="auto"/>
        <w:rPr>
          <w:rFonts w:ascii="Times New Roman" w:hAnsi="Times New Roman"/>
          <w:sz w:val="24"/>
          <w:szCs w:val="24"/>
          <w:highlight w:val="none"/>
        </w:rPr>
      </w:pPr>
    </w:p>
    <w:p w14:paraId="32705CAA">
      <w:pPr>
        <w:spacing w:line="360" w:lineRule="auto"/>
        <w:rPr>
          <w:rFonts w:ascii="Times New Roman" w:hAnsi="Times New Roman"/>
          <w:sz w:val="24"/>
          <w:szCs w:val="24"/>
          <w:highlight w:val="none"/>
        </w:rPr>
      </w:pPr>
    </w:p>
    <w:p w14:paraId="6467D7BE">
      <w:pPr>
        <w:spacing w:line="360" w:lineRule="auto"/>
        <w:rPr>
          <w:rFonts w:ascii="Times New Roman" w:hAnsi="Times New Roman"/>
          <w:sz w:val="24"/>
          <w:szCs w:val="24"/>
          <w:highlight w:val="none"/>
        </w:rPr>
      </w:pPr>
    </w:p>
    <w:p w14:paraId="13C590DC">
      <w:pPr>
        <w:spacing w:line="360" w:lineRule="auto"/>
        <w:rPr>
          <w:rFonts w:ascii="Times New Roman" w:hAnsi="Times New Roman"/>
          <w:sz w:val="24"/>
          <w:szCs w:val="24"/>
          <w:highlight w:val="none"/>
        </w:rPr>
      </w:pPr>
    </w:p>
    <w:p w14:paraId="698A40BB">
      <w:pPr>
        <w:spacing w:line="360" w:lineRule="auto"/>
        <w:jc w:val="righ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（盖单位章）</w:t>
      </w:r>
    </w:p>
    <w:p w14:paraId="096664F8">
      <w:pPr>
        <w:spacing w:line="360" w:lineRule="auto"/>
        <w:jc w:val="righ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日 </w:t>
      </w:r>
    </w:p>
    <w:p w14:paraId="26495E9D">
      <w:pPr>
        <w:spacing w:line="360" w:lineRule="auto"/>
        <w:ind w:firstLine="480" w:firstLineChars="200"/>
        <w:rPr>
          <w:rFonts w:ascii="方正仿宋_GBK" w:hAnsi="方正仿宋_GBK" w:eastAsia="方正仿宋_GBK" w:cs="方正仿宋_GBK"/>
          <w:sz w:val="24"/>
          <w:szCs w:val="24"/>
          <w:highlight w:val="none"/>
        </w:rPr>
        <w:sectPr>
          <w:pgSz w:w="11906" w:h="16838"/>
          <w:pgMar w:top="1440" w:right="1274" w:bottom="1440" w:left="1440" w:header="851" w:footer="992" w:gutter="0"/>
          <w:pgNumType w:fmt="numberInDash" w:start="1"/>
          <w:cols w:space="720" w:num="1"/>
          <w:titlePg/>
          <w:docGrid w:type="lines" w:linePitch="312" w:charSpace="0"/>
        </w:sectPr>
      </w:pPr>
    </w:p>
    <w:p w14:paraId="6C48D94F">
      <w:pPr>
        <w:numPr>
          <w:ilvl w:val="0"/>
          <w:numId w:val="15"/>
        </w:numPr>
        <w:spacing w:line="440" w:lineRule="exact"/>
        <w:jc w:val="center"/>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法人代表授权书格式</w:t>
      </w:r>
    </w:p>
    <w:p w14:paraId="16D1FFA4">
      <w:pPr>
        <w:autoSpaceDE w:val="0"/>
        <w:autoSpaceDN w:val="0"/>
        <w:adjustRightInd w:val="0"/>
        <w:spacing w:line="440" w:lineRule="exact"/>
        <w:ind w:firstLine="420"/>
        <w:jc w:val="left"/>
        <w:rPr>
          <w:rFonts w:ascii="Times New Roman" w:hAnsi="Times New Roman"/>
          <w:kern w:val="0"/>
          <w:sz w:val="24"/>
          <w:szCs w:val="24"/>
          <w:highlight w:val="none"/>
        </w:rPr>
      </w:pPr>
    </w:p>
    <w:p w14:paraId="60C71D99">
      <w:pPr>
        <w:autoSpaceDE w:val="0"/>
        <w:autoSpaceDN w:val="0"/>
        <w:adjustRightInd w:val="0"/>
        <w:spacing w:line="440" w:lineRule="exact"/>
        <w:jc w:val="left"/>
        <w:rPr>
          <w:rFonts w:ascii="方正楷体_GBK" w:hAnsi="方正楷体_GBK" w:eastAsia="方正楷体_GBK" w:cs="方正楷体_GBK"/>
          <w:b/>
          <w:kern w:val="0"/>
          <w:sz w:val="32"/>
          <w:szCs w:val="32"/>
          <w:highlight w:val="none"/>
        </w:rPr>
      </w:pPr>
      <w:r>
        <w:rPr>
          <w:rFonts w:hint="eastAsia" w:ascii="方正楷体_GBK" w:hAnsi="方正楷体_GBK" w:eastAsia="方正楷体_GBK" w:cs="方正楷体_GBK"/>
          <w:b/>
          <w:kern w:val="0"/>
          <w:sz w:val="32"/>
          <w:szCs w:val="32"/>
          <w:highlight w:val="none"/>
        </w:rPr>
        <w:t>本授权书声明：</w:t>
      </w:r>
    </w:p>
    <w:p w14:paraId="023CC02A">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（姓名）系</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（投标人名称）的法定代表人，现委托</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（项目名称）比选响应文件、签订合同和处理有关事宜，其法律后果由我方承担。</w:t>
      </w:r>
    </w:p>
    <w:p w14:paraId="7EF8D3B5">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委托期限：</w:t>
      </w:r>
      <w:r>
        <w:rPr>
          <w:rFonts w:hint="eastAsia" w:ascii="方正仿宋_GBK" w:hAnsi="方正仿宋_GBK" w:eastAsia="方正仿宋_GBK" w:cs="方正仿宋_GBK"/>
          <w:sz w:val="28"/>
          <w:szCs w:val="28"/>
          <w:highlight w:val="none"/>
          <w:u w:val="single"/>
        </w:rPr>
        <w:t xml:space="preserve">    （同比选文件规定的投标有效期）  </w:t>
      </w:r>
      <w:r>
        <w:rPr>
          <w:rFonts w:hint="eastAsia" w:ascii="方正仿宋_GBK" w:hAnsi="方正仿宋_GBK" w:eastAsia="方正仿宋_GBK" w:cs="方正仿宋_GBK"/>
          <w:sz w:val="28"/>
          <w:szCs w:val="28"/>
          <w:highlight w:val="none"/>
        </w:rPr>
        <w:t>。代理人无转委托权。</w:t>
      </w:r>
    </w:p>
    <w:p w14:paraId="1E3A6C75">
      <w:pPr>
        <w:rPr>
          <w:rFonts w:ascii="方正仿宋_GBK" w:hAnsi="方正仿宋_GBK" w:eastAsia="方正仿宋_GBK" w:cs="方正仿宋_GBK"/>
          <w:sz w:val="28"/>
          <w:szCs w:val="28"/>
          <w:highlight w:val="none"/>
        </w:rPr>
      </w:pPr>
    </w:p>
    <w:p w14:paraId="5EB4C0D5">
      <w:pPr>
        <w:ind w:firstLine="2240" w:firstLineChars="8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  标  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（盖单位章）</w:t>
      </w:r>
    </w:p>
    <w:p w14:paraId="2A0002D0">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法定代表人：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w:t>
      </w:r>
    </w:p>
    <w:p w14:paraId="0B1279C4">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14:paraId="4C260D1D">
      <w:pPr>
        <w:ind w:firstLine="2240" w:firstLineChars="800"/>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（签字）</w:t>
      </w:r>
    </w:p>
    <w:p w14:paraId="22DD7A89">
      <w:pPr>
        <w:ind w:firstLine="2240" w:firstLineChars="800"/>
        <w:jc w:val="lef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身份证号码：</w:t>
      </w:r>
      <w:r>
        <w:rPr>
          <w:rFonts w:hint="eastAsia" w:ascii="方正仿宋_GBK" w:hAnsi="方正仿宋_GBK" w:eastAsia="方正仿宋_GBK" w:cs="方正仿宋_GBK"/>
          <w:sz w:val="28"/>
          <w:szCs w:val="28"/>
          <w:highlight w:val="none"/>
          <w:u w:val="single"/>
        </w:rPr>
        <w:t xml:space="preserve">                     </w:t>
      </w:r>
    </w:p>
    <w:p w14:paraId="0EB18698">
      <w:pPr>
        <w:jc w:val="right"/>
        <w:rPr>
          <w:rFonts w:ascii="方正黑体_GBK" w:hAnsi="方正黑体_GBK" w:eastAsia="方正黑体_GBK" w:cs="方正黑体_GBK"/>
          <w:bCs/>
          <w:kern w:val="0"/>
          <w:sz w:val="32"/>
          <w:szCs w:val="32"/>
          <w:highlight w:val="none"/>
        </w:rPr>
      </w:pP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日 </w:t>
      </w:r>
      <w:bookmarkEnd w:id="6"/>
      <w:bookmarkEnd w:id="7"/>
    </w:p>
    <w:tbl>
      <w:tblPr>
        <w:tblStyle w:val="10"/>
        <w:tblpPr w:leftFromText="180" w:rightFromText="180" w:vertAnchor="text" w:horzAnchor="page" w:tblpX="2399"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0"/>
      </w:tblGrid>
      <w:tr w14:paraId="1058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exact"/>
        </w:trPr>
        <w:tc>
          <w:tcPr>
            <w:tcW w:w="3810" w:type="dxa"/>
            <w:tcBorders>
              <w:bottom w:val="dashed" w:color="auto" w:sz="4" w:space="0"/>
              <w:right w:val="dashed" w:color="auto" w:sz="4" w:space="0"/>
            </w:tcBorders>
          </w:tcPr>
          <w:p w14:paraId="45754A94">
            <w:pPr>
              <w:spacing w:line="600" w:lineRule="exact"/>
              <w:ind w:firstLine="480" w:firstLineChars="200"/>
              <w:rPr>
                <w:rFonts w:ascii="方正仿宋_GBK" w:hAnsi="方正仿宋_GBK" w:eastAsia="方正仿宋_GBK" w:cs="方正仿宋_GBK"/>
                <w:sz w:val="24"/>
                <w:highlight w:val="none"/>
              </w:rPr>
            </w:pPr>
          </w:p>
          <w:p w14:paraId="6F569440">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14:paraId="5B571974">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14:paraId="3463B312">
            <w:pPr>
              <w:spacing w:line="600" w:lineRule="exact"/>
              <w:ind w:firstLine="480" w:firstLineChars="200"/>
              <w:rPr>
                <w:rFonts w:ascii="方正仿宋_GBK" w:hAnsi="方正仿宋_GBK" w:eastAsia="方正仿宋_GBK" w:cs="方正仿宋_GBK"/>
                <w:sz w:val="24"/>
                <w:highlight w:val="none"/>
              </w:rPr>
            </w:pPr>
          </w:p>
          <w:p w14:paraId="1F485C41">
            <w:pPr>
              <w:spacing w:line="600" w:lineRule="exact"/>
              <w:ind w:firstLine="480" w:firstLineChars="200"/>
              <w:rPr>
                <w:rFonts w:ascii="方正仿宋_GBK" w:hAnsi="方正仿宋_GBK" w:eastAsia="方正仿宋_GBK" w:cs="方正仿宋_GBK"/>
                <w:sz w:val="24"/>
                <w:highlight w:val="none"/>
              </w:rPr>
            </w:pPr>
          </w:p>
          <w:p w14:paraId="286428F2">
            <w:pPr>
              <w:spacing w:line="600" w:lineRule="exact"/>
              <w:ind w:firstLine="480" w:firstLineChars="200"/>
              <w:rPr>
                <w:rFonts w:ascii="方正仿宋_GBK" w:hAnsi="方正仿宋_GBK" w:eastAsia="方正仿宋_GBK" w:cs="方正仿宋_GBK"/>
                <w:sz w:val="24"/>
                <w:highlight w:val="none"/>
              </w:rPr>
            </w:pPr>
          </w:p>
        </w:tc>
        <w:tc>
          <w:tcPr>
            <w:tcW w:w="3810" w:type="dxa"/>
            <w:tcBorders>
              <w:left w:val="dashed" w:color="auto" w:sz="4" w:space="0"/>
              <w:bottom w:val="dashed" w:color="auto" w:sz="4" w:space="0"/>
            </w:tcBorders>
          </w:tcPr>
          <w:p w14:paraId="5B87CCEA">
            <w:pPr>
              <w:widowControl/>
              <w:spacing w:line="600" w:lineRule="exact"/>
              <w:jc w:val="left"/>
              <w:rPr>
                <w:rFonts w:ascii="方正仿宋_GBK" w:hAnsi="方正仿宋_GBK" w:eastAsia="方正仿宋_GBK" w:cs="方正仿宋_GBK"/>
                <w:sz w:val="24"/>
                <w:highlight w:val="none"/>
              </w:rPr>
            </w:pPr>
          </w:p>
          <w:p w14:paraId="4171B744">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14:paraId="4990B2C7">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（正面）</w:t>
            </w:r>
          </w:p>
          <w:p w14:paraId="78FDACB3">
            <w:pPr>
              <w:widowControl/>
              <w:spacing w:line="600" w:lineRule="exact"/>
              <w:jc w:val="left"/>
              <w:rPr>
                <w:rFonts w:ascii="方正仿宋_GBK" w:hAnsi="方正仿宋_GBK" w:eastAsia="方正仿宋_GBK" w:cs="方正仿宋_GBK"/>
                <w:sz w:val="24"/>
                <w:highlight w:val="none"/>
              </w:rPr>
            </w:pPr>
          </w:p>
          <w:p w14:paraId="6491F66C">
            <w:pPr>
              <w:widowControl/>
              <w:spacing w:line="600" w:lineRule="exact"/>
              <w:jc w:val="left"/>
              <w:rPr>
                <w:rFonts w:ascii="方正仿宋_GBK" w:hAnsi="方正仿宋_GBK" w:eastAsia="方正仿宋_GBK" w:cs="方正仿宋_GBK"/>
                <w:sz w:val="24"/>
                <w:highlight w:val="none"/>
              </w:rPr>
            </w:pPr>
          </w:p>
          <w:p w14:paraId="2A0E516C">
            <w:pPr>
              <w:spacing w:line="600" w:lineRule="exact"/>
              <w:rPr>
                <w:rFonts w:ascii="方正仿宋_GBK" w:hAnsi="方正仿宋_GBK" w:eastAsia="方正仿宋_GBK" w:cs="方正仿宋_GBK"/>
                <w:sz w:val="24"/>
                <w:highlight w:val="none"/>
              </w:rPr>
            </w:pPr>
          </w:p>
        </w:tc>
      </w:tr>
      <w:tr w14:paraId="1F0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exact"/>
        </w:trPr>
        <w:tc>
          <w:tcPr>
            <w:tcW w:w="3810" w:type="dxa"/>
            <w:tcBorders>
              <w:top w:val="dashed" w:color="auto" w:sz="4" w:space="0"/>
              <w:right w:val="dashed" w:color="auto" w:sz="4" w:space="0"/>
            </w:tcBorders>
          </w:tcPr>
          <w:p w14:paraId="2FFE0F4B">
            <w:pPr>
              <w:spacing w:line="600" w:lineRule="exact"/>
              <w:ind w:firstLine="480" w:firstLineChars="200"/>
              <w:rPr>
                <w:rFonts w:ascii="方正仿宋_GBK" w:hAnsi="方正仿宋_GBK" w:eastAsia="方正仿宋_GBK" w:cs="方正仿宋_GBK"/>
                <w:sz w:val="24"/>
                <w:highlight w:val="none"/>
              </w:rPr>
            </w:pPr>
          </w:p>
          <w:p w14:paraId="6421848A">
            <w:pPr>
              <w:spacing w:line="6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法定代表人身份证扫描件</w:t>
            </w:r>
          </w:p>
          <w:p w14:paraId="0BA67AD7">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p w14:paraId="0E4AE6EE">
            <w:pPr>
              <w:spacing w:line="600" w:lineRule="exact"/>
              <w:ind w:firstLine="480" w:firstLineChars="200"/>
              <w:rPr>
                <w:rFonts w:ascii="方正仿宋_GBK" w:hAnsi="方正仿宋_GBK" w:eastAsia="方正仿宋_GBK" w:cs="方正仿宋_GBK"/>
                <w:sz w:val="24"/>
                <w:highlight w:val="none"/>
              </w:rPr>
            </w:pPr>
          </w:p>
          <w:p w14:paraId="542261B5">
            <w:pPr>
              <w:spacing w:line="600" w:lineRule="exact"/>
              <w:ind w:firstLine="480" w:firstLineChars="200"/>
              <w:rPr>
                <w:rFonts w:ascii="方正仿宋_GBK" w:hAnsi="方正仿宋_GBK" w:eastAsia="方正仿宋_GBK" w:cs="方正仿宋_GBK"/>
                <w:sz w:val="24"/>
                <w:highlight w:val="none"/>
              </w:rPr>
            </w:pPr>
          </w:p>
          <w:p w14:paraId="746B89F5">
            <w:pPr>
              <w:spacing w:line="600" w:lineRule="exact"/>
              <w:ind w:firstLine="480" w:firstLineChars="200"/>
              <w:rPr>
                <w:rFonts w:ascii="方正仿宋_GBK" w:hAnsi="方正仿宋_GBK" w:eastAsia="方正仿宋_GBK" w:cs="方正仿宋_GBK"/>
                <w:sz w:val="24"/>
                <w:highlight w:val="none"/>
              </w:rPr>
            </w:pPr>
          </w:p>
        </w:tc>
        <w:tc>
          <w:tcPr>
            <w:tcW w:w="3810" w:type="dxa"/>
            <w:tcBorders>
              <w:top w:val="dashed" w:color="auto" w:sz="4" w:space="0"/>
              <w:left w:val="dashed" w:color="auto" w:sz="4" w:space="0"/>
            </w:tcBorders>
          </w:tcPr>
          <w:p w14:paraId="58F624A3">
            <w:pPr>
              <w:widowControl/>
              <w:spacing w:line="600" w:lineRule="exact"/>
              <w:jc w:val="left"/>
              <w:rPr>
                <w:rFonts w:ascii="方正仿宋_GBK" w:hAnsi="方正仿宋_GBK" w:eastAsia="方正仿宋_GBK" w:cs="方正仿宋_GBK"/>
                <w:sz w:val="24"/>
                <w:highlight w:val="none"/>
              </w:rPr>
            </w:pPr>
          </w:p>
          <w:p w14:paraId="2648CCA0">
            <w:pPr>
              <w:spacing w:line="600" w:lineRule="exact"/>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委托代理人身份证扫描件</w:t>
            </w:r>
          </w:p>
          <w:p w14:paraId="3E4CB973">
            <w:pPr>
              <w:spacing w:line="600" w:lineRule="exact"/>
              <w:ind w:firstLine="1800" w:firstLineChars="7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（背面）</w:t>
            </w:r>
          </w:p>
        </w:tc>
      </w:tr>
    </w:tbl>
    <w:p w14:paraId="1EECDC95">
      <w:pPr>
        <w:tabs>
          <w:tab w:val="left" w:pos="5760"/>
        </w:tabs>
        <w:autoSpaceDE w:val="0"/>
        <w:autoSpaceDN w:val="0"/>
        <w:adjustRightInd w:val="0"/>
        <w:spacing w:line="300" w:lineRule="exact"/>
        <w:ind w:right="11"/>
        <w:rPr>
          <w:rFonts w:ascii="宋体" w:hAnsi="宋体" w:cs="宋体"/>
          <w:kern w:val="0"/>
          <w:sz w:val="24"/>
          <w:szCs w:val="24"/>
          <w:highlight w:val="none"/>
        </w:rPr>
      </w:pPr>
      <w:r>
        <w:rPr>
          <w:rFonts w:hint="eastAsia" w:ascii="方正黑体_GBK" w:hAnsi="方正黑体_GBK" w:eastAsia="方正黑体_GBK" w:cs="方正黑体_GBK"/>
          <w:bCs/>
          <w:kern w:val="0"/>
          <w:sz w:val="32"/>
          <w:szCs w:val="32"/>
          <w:highlight w:val="none"/>
        </w:rPr>
        <w:br w:type="page"/>
      </w:r>
      <w:r>
        <w:rPr>
          <w:rFonts w:hint="eastAsia" w:ascii="宋体" w:hAnsi="宋体" w:cs="宋体"/>
          <w:kern w:val="0"/>
          <w:sz w:val="24"/>
          <w:szCs w:val="24"/>
          <w:highlight w:val="none"/>
        </w:rPr>
        <w:t>注：法定代表人参加投标活动并签署文件的不需要授权委托书，只需提供法定代表人身份证明；非法定代表人参加投标活动及签署文件的除提供法定代表人身份证明外还须提供授权委托书。</w:t>
      </w:r>
    </w:p>
    <w:p w14:paraId="00CF2553">
      <w:pPr>
        <w:rPr>
          <w:highlight w:val="none"/>
        </w:rPr>
      </w:pPr>
    </w:p>
    <w:p w14:paraId="72070FC3">
      <w:pPr>
        <w:rPr>
          <w:rFonts w:ascii="方正黑体_GBK" w:hAnsi="方正黑体_GBK" w:eastAsia="方正黑体_GBK" w:cs="方正黑体_GBK"/>
          <w:bCs/>
          <w:kern w:val="0"/>
          <w:sz w:val="32"/>
          <w:szCs w:val="32"/>
          <w:highlight w:val="none"/>
        </w:rPr>
      </w:pPr>
      <w:r>
        <w:rPr>
          <w:rFonts w:hint="eastAsia" w:ascii="方正黑体_GBK" w:hAnsi="方正黑体_GBK" w:eastAsia="方正黑体_GBK" w:cs="方正黑体_GBK"/>
          <w:bCs/>
          <w:kern w:val="0"/>
          <w:sz w:val="32"/>
          <w:szCs w:val="32"/>
          <w:highlight w:val="none"/>
        </w:rPr>
        <w:br w:type="page"/>
      </w:r>
    </w:p>
    <w:p w14:paraId="7E35F969">
      <w:pPr>
        <w:numPr>
          <w:ilvl w:val="0"/>
          <w:numId w:val="15"/>
        </w:numPr>
        <w:spacing w:line="440" w:lineRule="exact"/>
        <w:jc w:val="left"/>
        <w:rPr>
          <w:rFonts w:ascii="方正楷体_GBK" w:hAnsi="方正楷体_GBK" w:eastAsia="方正楷体_GBK" w:cs="方正楷体_GBK"/>
          <w:b/>
          <w:bCs/>
          <w:sz w:val="28"/>
          <w:szCs w:val="28"/>
          <w:highlight w:val="none"/>
        </w:rPr>
      </w:pPr>
      <w:r>
        <w:rPr>
          <w:rFonts w:hint="eastAsia" w:ascii="方正楷体_GBK" w:hAnsi="方正楷体_GBK" w:eastAsia="方正楷体_GBK" w:cs="方正楷体_GBK"/>
          <w:b/>
          <w:bCs/>
          <w:sz w:val="28"/>
          <w:szCs w:val="28"/>
          <w:highlight w:val="none"/>
        </w:rPr>
        <w:t>真实性承诺</w:t>
      </w:r>
    </w:p>
    <w:p w14:paraId="694DB21A">
      <w:pPr>
        <w:widowControl/>
        <w:jc w:val="center"/>
        <w:rPr>
          <w:rFonts w:ascii="方正小标宋_GBK" w:hAnsi="方正小标宋_GBK" w:eastAsia="方正小标宋_GBK" w:cs="方正小标宋_GBK"/>
          <w:b/>
          <w:bCs/>
          <w:kern w:val="0"/>
          <w:sz w:val="43"/>
          <w:szCs w:val="43"/>
          <w:highlight w:val="none"/>
          <w:lang w:bidi="ar"/>
        </w:rPr>
      </w:pPr>
      <w:r>
        <w:rPr>
          <w:rFonts w:hint="eastAsia" w:ascii="方正小标宋_GBK" w:hAnsi="方正小标宋_GBK" w:eastAsia="方正小标宋_GBK" w:cs="方正小标宋_GBK"/>
          <w:sz w:val="44"/>
          <w:szCs w:val="44"/>
          <w:highlight w:val="none"/>
        </w:rPr>
        <w:t>投标资料真实性承诺书</w:t>
      </w:r>
    </w:p>
    <w:p w14:paraId="3C5DD10A">
      <w:pPr>
        <w:rPr>
          <w:highlight w:val="none"/>
        </w:rPr>
      </w:pPr>
    </w:p>
    <w:p w14:paraId="41E5B675">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中垦华山牧乳业有限公司：</w:t>
      </w:r>
    </w:p>
    <w:p w14:paraId="1307888F">
      <w:pPr>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公司一贯实事求是，对所提供的文件、证件、有关材料及其复印件的有效性、合法性、真实性、作保证，绝无弄虚作假。如有虚假，本单位愿意承受招标人作出的取消投标/中标资格、没收投标保证金的决定，并为此承担全部责任和后果。</w:t>
      </w:r>
    </w:p>
    <w:p w14:paraId="69D28B64">
      <w:pPr>
        <w:wordWrap w:val="0"/>
        <w:jc w:val="right"/>
        <w:rPr>
          <w:rFonts w:ascii="方正仿宋_GBK" w:hAnsi="方正仿宋_GBK" w:eastAsia="方正仿宋_GBK" w:cs="方正仿宋_GBK"/>
          <w:sz w:val="28"/>
          <w:szCs w:val="28"/>
          <w:highlight w:val="none"/>
        </w:rPr>
      </w:pPr>
    </w:p>
    <w:p w14:paraId="72E39718">
      <w:pPr>
        <w:wordWrap w:val="0"/>
        <w:jc w:val="righ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投标单位名称（公章）：</w:t>
      </w:r>
      <w:r>
        <w:rPr>
          <w:rFonts w:hint="eastAsia" w:ascii="方正仿宋_GBK" w:hAnsi="方正仿宋_GBK" w:eastAsia="方正仿宋_GBK" w:cs="方正仿宋_GBK"/>
          <w:sz w:val="28"/>
          <w:szCs w:val="28"/>
          <w:highlight w:val="none"/>
          <w:u w:val="single"/>
        </w:rPr>
        <w:t xml:space="preserve">                 </w:t>
      </w:r>
    </w:p>
    <w:p w14:paraId="230E3281">
      <w:pPr>
        <w:wordWrap w:val="0"/>
        <w:jc w:val="righ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投标人法定代表人（签字）：</w:t>
      </w:r>
      <w:r>
        <w:rPr>
          <w:rFonts w:hint="eastAsia" w:ascii="方正仿宋_GBK" w:hAnsi="方正仿宋_GBK" w:eastAsia="方正仿宋_GBK" w:cs="方正仿宋_GBK"/>
          <w:sz w:val="28"/>
          <w:szCs w:val="28"/>
          <w:highlight w:val="none"/>
          <w:u w:val="single"/>
        </w:rPr>
        <w:t xml:space="preserve">             </w:t>
      </w:r>
    </w:p>
    <w:p w14:paraId="4FB82A9C">
      <w:pPr>
        <w:wordWrap w:val="0"/>
        <w:jc w:val="right"/>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被授权的代理人（签字）：</w:t>
      </w:r>
      <w:r>
        <w:rPr>
          <w:rFonts w:hint="eastAsia" w:ascii="方正仿宋_GBK" w:hAnsi="方正仿宋_GBK" w:eastAsia="方正仿宋_GBK" w:cs="方正仿宋_GBK"/>
          <w:sz w:val="28"/>
          <w:szCs w:val="28"/>
          <w:highlight w:val="none"/>
          <w:u w:val="single"/>
        </w:rPr>
        <w:t xml:space="preserve">               </w:t>
      </w:r>
    </w:p>
    <w:p w14:paraId="5D00723E">
      <w:pPr>
        <w:jc w:val="righ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日期：20    年    月    日</w:t>
      </w:r>
    </w:p>
    <w:p w14:paraId="173B8A69">
      <w:pPr>
        <w:rPr>
          <w:rFonts w:ascii="方正黑体_GBK" w:hAnsi="方正黑体_GBK" w:eastAsia="方正黑体_GBK" w:cs="方正黑体_GBK"/>
          <w:bCs/>
          <w:kern w:val="0"/>
          <w:sz w:val="32"/>
          <w:szCs w:val="32"/>
          <w:highlight w:val="none"/>
        </w:rPr>
      </w:pPr>
      <w:r>
        <w:rPr>
          <w:rFonts w:hint="eastAsia" w:ascii="方正仿宋_GBK" w:hAnsi="方正仿宋_GBK" w:eastAsia="方正仿宋_GBK" w:cs="方正仿宋_GBK"/>
          <w:sz w:val="28"/>
          <w:szCs w:val="28"/>
          <w:highlight w:val="none"/>
        </w:rPr>
        <w:t>注:本承诺书原件应装订在投标文件正本中，必须由法定代表人签字。</w:t>
      </w:r>
      <w:r>
        <w:rPr>
          <w:rFonts w:hint="eastAsia" w:ascii="方正黑体_GBK" w:hAnsi="方正黑体_GBK" w:eastAsia="方正黑体_GBK" w:cs="方正黑体_GBK"/>
          <w:bCs/>
          <w:kern w:val="0"/>
          <w:sz w:val="32"/>
          <w:szCs w:val="32"/>
          <w:highlight w:val="none"/>
        </w:rPr>
        <w:br w:type="page"/>
      </w:r>
    </w:p>
    <w:p w14:paraId="7E87C7A7">
      <w:pPr>
        <w:numPr>
          <w:ilvl w:val="0"/>
          <w:numId w:val="15"/>
        </w:numPr>
        <w:spacing w:line="440" w:lineRule="exact"/>
        <w:jc w:val="left"/>
        <w:rPr>
          <w:rFonts w:ascii="方正楷体_GBK" w:hAnsi="方正楷体_GBK" w:eastAsia="方正楷体_GBK" w:cs="方正楷体_GBK"/>
          <w:b/>
          <w:bCs/>
          <w:sz w:val="28"/>
          <w:szCs w:val="28"/>
          <w:highlight w:val="none"/>
        </w:rPr>
        <w:sectPr>
          <w:pgSz w:w="11906" w:h="16838"/>
          <w:pgMar w:top="1440" w:right="1803" w:bottom="1440" w:left="1803" w:header="851" w:footer="992" w:gutter="0"/>
          <w:cols w:space="0" w:num="1"/>
          <w:docGrid w:type="lines" w:linePitch="317" w:charSpace="0"/>
        </w:sectPr>
      </w:pPr>
      <w:r>
        <w:rPr>
          <w:rFonts w:hint="eastAsia" w:ascii="方正楷体_GBK" w:hAnsi="方正楷体_GBK" w:eastAsia="方正楷体_GBK" w:cs="方正楷体_GBK"/>
          <w:b/>
          <w:bCs/>
          <w:sz w:val="28"/>
          <w:szCs w:val="28"/>
          <w:highlight w:val="none"/>
        </w:rPr>
        <w:t>服务承诺</w:t>
      </w:r>
    </w:p>
    <w:p w14:paraId="56F8B9A0">
      <w:pPr>
        <w:numPr>
          <w:ilvl w:val="0"/>
          <w:numId w:val="12"/>
        </w:numPr>
        <w:jc w:val="cente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安全措施方案</w:t>
      </w:r>
    </w:p>
    <w:p w14:paraId="0F66C32C">
      <w:pPr>
        <w:autoSpaceDE w:val="0"/>
        <w:autoSpaceDN w:val="0"/>
        <w:adjustRightInd w:val="0"/>
        <w:spacing w:line="440" w:lineRule="exact"/>
        <w:jc w:val="center"/>
        <w:rPr>
          <w:rFonts w:ascii="方正黑体_GBK" w:hAnsi="方正黑体_GBK" w:eastAsia="方正黑体_GBK" w:cs="方正黑体_GBK"/>
          <w:bCs/>
          <w:kern w:val="0"/>
          <w:sz w:val="28"/>
          <w:szCs w:val="28"/>
          <w:highlight w:val="none"/>
        </w:rPr>
      </w:pPr>
      <w:r>
        <w:rPr>
          <w:rFonts w:hint="eastAsia" w:ascii="方正仿宋_GBK" w:hAnsi="方正仿宋_GBK" w:eastAsia="方正仿宋_GBK" w:cs="方正仿宋_GBK"/>
          <w:bCs/>
          <w:kern w:val="0"/>
          <w:sz w:val="28"/>
          <w:szCs w:val="28"/>
          <w:highlight w:val="none"/>
        </w:rPr>
        <w:t>（包含但不限于：安全管理制度、现场安全管理流程、员工安全培训计划、应急处置预案、安全责任分工表，方案需加盖投标人公章）</w:t>
      </w:r>
    </w:p>
    <w:p w14:paraId="449E6CBF">
      <w:pPr>
        <w:rPr>
          <w:rFonts w:ascii="方正黑体_GBK" w:hAnsi="方正黑体_GBK" w:eastAsia="方正黑体_GBK" w:cs="方正黑体_GBK"/>
          <w:sz w:val="32"/>
          <w:szCs w:val="32"/>
          <w:highlight w:val="none"/>
        </w:rPr>
      </w:pPr>
    </w:p>
    <w:p w14:paraId="772F5FAE">
      <w:pP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125BE628">
      <w:pPr>
        <w:spacing w:line="600" w:lineRule="exact"/>
        <w:jc w:val="center"/>
        <w:rPr>
          <w:rFonts w:ascii="Times New Roman" w:hAnsi="Times New Roman" w:eastAsia="方正黑体_GBK"/>
          <w:highlight w:val="none"/>
        </w:rPr>
      </w:pPr>
      <w:r>
        <w:rPr>
          <w:rFonts w:hint="eastAsia" w:ascii="方正黑体_GBK" w:hAnsi="方正黑体_GBK" w:eastAsia="方正黑体_GBK" w:cs="方正黑体_GBK"/>
          <w:sz w:val="32"/>
          <w:szCs w:val="32"/>
          <w:highlight w:val="none"/>
        </w:rPr>
        <w:t>第五部分：合同草案</w:t>
      </w:r>
    </w:p>
    <w:p w14:paraId="3DF033B0">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甲方（发包单位）：</w:t>
      </w:r>
    </w:p>
    <w:p w14:paraId="1038C5C6">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p>
    <w:p w14:paraId="43E4F957">
      <w:pPr>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乙方（承包单位）：</w:t>
      </w:r>
    </w:p>
    <w:p w14:paraId="4C2C90E1">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地址：</w:t>
      </w:r>
    </w:p>
    <w:p w14:paraId="5F57A0AD">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依据《中华人民共和国民法典》及相关法律法规，甲乙双方经平等协商，建立业务流程外包合作关系。为明确双方的权利义务，签署本协议。</w:t>
      </w:r>
    </w:p>
    <w:p w14:paraId="6ED2C7D4">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定义</w:t>
      </w:r>
    </w:p>
    <w:p w14:paraId="4FFA2AC4">
      <w:pPr>
        <w:numPr>
          <w:ilvl w:val="0"/>
          <w:numId w:val="17"/>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外包服务</w:t>
      </w:r>
      <w:r>
        <w:rPr>
          <w:rFonts w:hint="eastAsia" w:ascii="方正仿宋_GBK" w:hAnsi="方正仿宋_GBK" w:eastAsia="方正仿宋_GBK" w:cs="方正仿宋_GBK"/>
          <w:sz w:val="28"/>
          <w:szCs w:val="28"/>
          <w:highlight w:val="none"/>
        </w:rPr>
        <w:t>：指根据中华人民共和国有关法律与本协议的规定以及甲方的委托，乙方提供优质有偿的业务流程外包服务，具体参照本协议第五条；</w:t>
      </w:r>
    </w:p>
    <w:p w14:paraId="08D579B0">
      <w:pPr>
        <w:numPr>
          <w:ilvl w:val="0"/>
          <w:numId w:val="17"/>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保密信息</w:t>
      </w:r>
      <w:r>
        <w:rPr>
          <w:rFonts w:hint="eastAsia" w:ascii="方正仿宋_GBK" w:hAnsi="方正仿宋_GBK" w:eastAsia="方正仿宋_GBK" w:cs="方正仿宋_GBK"/>
          <w:sz w:val="28"/>
          <w:szCs w:val="28"/>
          <w:highlight w:val="none"/>
        </w:rPr>
        <w:t>：指甲、乙双方因本协议的签订或履行而获得的对方商业或技术信息和数据，包括但不限于双方的经营计划和经营状况、业务往来文件资料、商业操作方式、业务经办流程、收费标准和财务数据等，无论这些信息或数据采用何种媒介作为载体；</w:t>
      </w:r>
    </w:p>
    <w:p w14:paraId="2680643E">
      <w:pPr>
        <w:numPr>
          <w:ilvl w:val="0"/>
          <w:numId w:val="17"/>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28"/>
          <w:szCs w:val="28"/>
          <w:highlight w:val="none"/>
        </w:rPr>
        <w:t>不可抗力</w:t>
      </w:r>
      <w:r>
        <w:rPr>
          <w:rFonts w:hint="eastAsia" w:ascii="方正仿宋_GBK" w:hAnsi="方正仿宋_GBK" w:eastAsia="方正仿宋_GBK" w:cs="方正仿宋_GBK"/>
          <w:sz w:val="28"/>
          <w:szCs w:val="28"/>
          <w:highlight w:val="none"/>
        </w:rPr>
        <w:t>：指甲、乙双方无法预见、无法预防、无法避免和无法控制的事件，例如但不限于地震、台风、水灾、火灾、传染病或其他自然灾害，爆炸、骚乱、战争或类似战争的情况、暴动。</w:t>
      </w:r>
    </w:p>
    <w:p w14:paraId="3AB4FB46">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合作申明</w:t>
      </w:r>
    </w:p>
    <w:p w14:paraId="640BED0F">
      <w:pPr>
        <w:numPr>
          <w:ilvl w:val="0"/>
          <w:numId w:val="18"/>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甲方为发包单位</w:t>
      </w:r>
    </w:p>
    <w:p w14:paraId="75701B88">
      <w:pPr>
        <w:numPr>
          <w:ilvl w:val="0"/>
          <w:numId w:val="19"/>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根据自身经营管理需要，委托乙方提供业务流程外包服务，是一种业务运营合作模式；</w:t>
      </w:r>
    </w:p>
    <w:p w14:paraId="6A4E72BE">
      <w:pPr>
        <w:numPr>
          <w:ilvl w:val="0"/>
          <w:numId w:val="19"/>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严格遵守相关法律法规，合法合规使用业务流程外包业务，不对乙方承揽服务的工作人员进行直接管理，与乙方工作人员不存在劳动合同和事实劳动关系。</w:t>
      </w:r>
    </w:p>
    <w:p w14:paraId="5414B183">
      <w:pPr>
        <w:numPr>
          <w:ilvl w:val="0"/>
          <w:numId w:val="18"/>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乙方为承包单位</w:t>
      </w:r>
    </w:p>
    <w:p w14:paraId="0FDB73E7">
      <w:pPr>
        <w:numPr>
          <w:ilvl w:val="0"/>
          <w:numId w:val="2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根据甲方的需求，基于丰富的服务能力和管理经验，承揽甲方的外包服务；</w:t>
      </w:r>
    </w:p>
    <w:p w14:paraId="16F60738">
      <w:pPr>
        <w:numPr>
          <w:ilvl w:val="0"/>
          <w:numId w:val="2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自行选派工作人员，在参照甲方制定的与本项目相关的管理规范、服务标准体系的前提下，到乙方承包的甲方商超导购员外包项目上工作；</w:t>
      </w:r>
    </w:p>
    <w:p w14:paraId="74369347">
      <w:pPr>
        <w:numPr>
          <w:ilvl w:val="0"/>
          <w:numId w:val="2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乙方与选派工作人员直接建立劳动关系或其他法定用工关系，并对承揽服务的工作人员进行日常工作、现场管理，履行法定义务、承担法定责任。</w:t>
      </w:r>
    </w:p>
    <w:p w14:paraId="42297024">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甲方权利、义务</w:t>
      </w:r>
    </w:p>
    <w:p w14:paraId="744A0266">
      <w:pPr>
        <w:numPr>
          <w:ilvl w:val="0"/>
          <w:numId w:val="21"/>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甲方权利</w:t>
      </w:r>
    </w:p>
    <w:p w14:paraId="286F8762">
      <w:pPr>
        <w:numPr>
          <w:ilvl w:val="0"/>
          <w:numId w:val="22"/>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有权对乙方承揽服务的工作人员完成服务项目的情况进行考察，及时向乙方反馈考察结果，由乙方对工作人员进行管理；</w:t>
      </w:r>
    </w:p>
    <w:p w14:paraId="17BDD0B5">
      <w:pPr>
        <w:numPr>
          <w:ilvl w:val="0"/>
          <w:numId w:val="22"/>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有权监督乙方工作人员的相关工作，并向乙方提出改进意见，并进行服务效果评估和考核，乙方应当积极配合，有效呈现服务效果；</w:t>
      </w:r>
    </w:p>
    <w:p w14:paraId="127F446B">
      <w:pPr>
        <w:numPr>
          <w:ilvl w:val="0"/>
          <w:numId w:val="21"/>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甲方义务</w:t>
      </w:r>
    </w:p>
    <w:p w14:paraId="147AC648">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甲方应按照合同约定及时足额支付乙方外包服务费用；</w:t>
      </w:r>
    </w:p>
    <w:p w14:paraId="1BA1BBAB">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有义务明确、清晰、合理的要求乙方完成外包服务事项，并无偿提供乙方或乙方工作人员为完成外包项目运作所需的环境设施（包括工作场所、必要的工作工具等），若由于甲方未能及时提供上述环境设施，导致乙方工作人员无法完成工作任务的，甲方应承担由此产生的后果；</w:t>
      </w:r>
    </w:p>
    <w:p w14:paraId="76FBA2D6">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因甲方公司经营策略改变或其他特殊情况，需要裁员或调整外包人员工作内容或岗位时（裁员少于5人/次），甲方有义务提前30日以书面形式告知乙方，便于乙方进行人员后续安排。如出现大批量裁员（大于5人/次），导致的补偿费用由甲乙双方协商解决；</w:t>
      </w:r>
    </w:p>
    <w:p w14:paraId="595100A7">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有义务向乙方提供甲方的劳动保护、劳动条件和职业病危害防护的相关措施，并对乙方工作人员进行操作规范、工作安全及规章制度的指导，并免费提供防护用具；因甲方未尽告知义务，造成乙方工作人员工伤或者职业病的，甲方承担全部法律责任；</w:t>
      </w:r>
    </w:p>
    <w:p w14:paraId="1BF9A998">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甲方应协助完成外包服务所需的工作工具等环境设施的日常维护，出现异常时及时给予补充或指导，如因甲方未及时补充或指导修复工作工具等环境设施导致乙方或乙方工作人员损失的，由甲方全部承担；</w:t>
      </w:r>
    </w:p>
    <w:p w14:paraId="0A601422">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若甲方涉及乙方服务项目的相关规章制度或服务内容，在服务期内有变更或调整的，应当及时以书面形式告知乙方，便于乙方及时分析、并参考要求执行；</w:t>
      </w:r>
    </w:p>
    <w:p w14:paraId="61B63760">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因甲方或甲方员工原因导致乙方工作人员发生意外事故（包含但不限于工伤、职业病等），由甲方承担全部责任；</w:t>
      </w:r>
    </w:p>
    <w:p w14:paraId="264A907C">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若非因乙方原因导致乙方承揽服务的部分或全部停止工作，因此产生的各项费用由甲方按照报价单报价支付给乙方；</w:t>
      </w:r>
    </w:p>
    <w:p w14:paraId="147EEE0C">
      <w:pPr>
        <w:numPr>
          <w:ilvl w:val="0"/>
          <w:numId w:val="23"/>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为保障甲乙双方合法权益及外包项目稳定，经双方协商一致，对乙方做出如下约定：</w:t>
      </w:r>
    </w:p>
    <w:p w14:paraId="7C7BAC29">
      <w:pPr>
        <w:numPr>
          <w:ilvl w:val="0"/>
          <w:numId w:val="2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合作期限内，合作期限内，甲方录用乙方派驻至本项目的在职员工须经乙方书面同意，否则承担违约责任（包括但不限于直接签订劳动合同、通过第三方机构用工等间接方式）；</w:t>
      </w:r>
    </w:p>
    <w:p w14:paraId="34C92248">
      <w:pPr>
        <w:numPr>
          <w:ilvl w:val="0"/>
          <w:numId w:val="2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合作终止两年内，甲方不得以任何形式招募、录用（包括但不限于直接录用、间接用工）乙方员工（包括在职员工及离职未满两年的员工），否则承担违约责任。</w:t>
      </w:r>
    </w:p>
    <w:p w14:paraId="19493B92">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乙方权利、义务</w:t>
      </w:r>
    </w:p>
    <w:p w14:paraId="54D0FC65">
      <w:pPr>
        <w:numPr>
          <w:ilvl w:val="0"/>
          <w:numId w:val="2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乙方权利</w:t>
      </w:r>
    </w:p>
    <w:p w14:paraId="4FA0D02A">
      <w:pPr>
        <w:numPr>
          <w:ilvl w:val="0"/>
          <w:numId w:val="26"/>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有权参考甲方书面告知的相关规章制度、服务规范和劳动纪律，结合项目管理的日常需要，制订合理且不低于甲方规章制度标准的规章制度，并以此约束乙方工作人员；</w:t>
      </w:r>
    </w:p>
    <w:p w14:paraId="310EEFCA">
      <w:pPr>
        <w:numPr>
          <w:ilvl w:val="0"/>
          <w:numId w:val="26"/>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有权直接管理乙方的工作人员，要求工作人员遵守法律法规、规章制度、服务规范和劳动纪律，包括但不限于业务流程、操作规范、监督机制和风险管控机制，甲方可以监督；</w:t>
      </w:r>
    </w:p>
    <w:p w14:paraId="587AE24E">
      <w:pPr>
        <w:numPr>
          <w:ilvl w:val="0"/>
          <w:numId w:val="26"/>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有权对服务事项行使必要的管理权，该管理权的行使不得损害甲方的商业利益，且不得违反甲方对本协议服务事务的合理要求，确保甲方的合法利益得到保护；</w:t>
      </w:r>
    </w:p>
    <w:p w14:paraId="7D3591E1">
      <w:pPr>
        <w:numPr>
          <w:ilvl w:val="0"/>
          <w:numId w:val="26"/>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乙方有权保护工作人员的合法利益，因甲方未经乙方同意，擅自调整乙方工作人员工作时间、工作内容或工作岗位，给乙方、乙方工作人员或第三人带来人身或财产损害的，由甲方承担责任。</w:t>
      </w:r>
    </w:p>
    <w:p w14:paraId="75223B3E">
      <w:pPr>
        <w:numPr>
          <w:ilvl w:val="0"/>
          <w:numId w:val="2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乙方义务</w:t>
      </w:r>
    </w:p>
    <w:p w14:paraId="6E9C37EE">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根据业务流程外包的项目选聘合格的工作人员承担服务工作，乙方保证使用在甲方外包项目上的员工是经过合法录用和考核管理的，确保服务事项顺利开展；</w:t>
      </w:r>
    </w:p>
    <w:p w14:paraId="189F8C22">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有义务和甲方一起确保工作人员的安全服务、卫生健康，提供必要的预防监督和保护措施，不得在员工工作范围内存在非法、危险、不安全、不卫生情形；</w:t>
      </w:r>
    </w:p>
    <w:p w14:paraId="7A237D1E">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向甲方派驻项目管理人员，负责业务流程外包项目的人员管理，对外包项目的运营情况和执行过程中遇到的问题及时与甲方沟通，并根据甲方反馈信息，不断完善服务流程，提高服务质量；</w:t>
      </w:r>
    </w:p>
    <w:p w14:paraId="7CE1BF0E">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按本协议约定为甲方提供各项服务，对服务过程中出现的问题主动及时和甲方沟通，并提出改善方案，根据甲方要求适当调整，确保服务品质的体现；</w:t>
      </w:r>
    </w:p>
    <w:p w14:paraId="4CE2AAA2">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rPr>
        <w:t>依法缴纳社保，并提供缴费凭证供甲方核查；</w:t>
      </w:r>
    </w:p>
    <w:p w14:paraId="64119D37">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工作人员在工作期间工伤、职业病或其他人身损害，甲、乙任一方应及时将员工送至医院救治；事发后24小时内以书面告知对方，乙方办理工伤申报、伤残鉴定申请、待遇理赔事宜；乙方未依法为员工缴纳工伤保险导致的赔偿责任，由乙方承担；</w:t>
      </w:r>
    </w:p>
    <w:p w14:paraId="4240A4C1">
      <w:pPr>
        <w:numPr>
          <w:ilvl w:val="0"/>
          <w:numId w:val="27"/>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因乙方工作人员的合法权益受到甲方侵犯而发生争议或诉讼的，由甲方承担最终的赔偿责任。</w:t>
      </w:r>
    </w:p>
    <w:p w14:paraId="3CB8A866">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服务内容</w:t>
      </w:r>
    </w:p>
    <w:p w14:paraId="5490A0C0">
      <w:pPr>
        <w:numPr>
          <w:ilvl w:val="0"/>
          <w:numId w:val="28"/>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主要涉及</w:t>
      </w:r>
      <w:r>
        <w:rPr>
          <w:rFonts w:hint="eastAsia" w:ascii="方正仿宋_GBK" w:hAnsi="方正仿宋_GBK" w:eastAsia="方正仿宋_GBK" w:cs="方正仿宋_GBK"/>
          <w:sz w:val="28"/>
          <w:szCs w:val="28"/>
          <w:highlight w:val="none"/>
          <w:lang w:val="en-US" w:eastAsia="zh-CN"/>
        </w:rPr>
        <w:t>各大超市长促（含永辉、华润、盒马系统及动队人员）及临</w:t>
      </w:r>
      <w:r>
        <w:rPr>
          <w:rFonts w:hint="eastAsia" w:ascii="方正仿宋_GBK" w:hAnsi="方正仿宋_GBK" w:eastAsia="方正仿宋_GBK" w:cs="方正仿宋_GBK"/>
          <w:sz w:val="28"/>
          <w:szCs w:val="28"/>
          <w:highlight w:val="none"/>
        </w:rPr>
        <w:t>促人员</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为了满足各门店销售任务，长促配备</w:t>
      </w:r>
      <w:r>
        <w:rPr>
          <w:rFonts w:hint="eastAsia" w:ascii="方正仿宋_GBK" w:hAnsi="方正仿宋_GBK" w:eastAsia="方正仿宋_GBK" w:cs="方正仿宋_GBK"/>
          <w:sz w:val="28"/>
          <w:szCs w:val="28"/>
          <w:highlight w:val="none"/>
          <w:lang w:val="en-US" w:eastAsia="zh-CN"/>
        </w:rPr>
        <w:t>在75</w:t>
      </w:r>
      <w:r>
        <w:rPr>
          <w:rFonts w:hint="eastAsia" w:ascii="方正仿宋_GBK" w:hAnsi="方正仿宋_GBK" w:eastAsia="方正仿宋_GBK" w:cs="方正仿宋_GBK"/>
          <w:sz w:val="28"/>
          <w:szCs w:val="28"/>
          <w:highlight w:val="none"/>
        </w:rPr>
        <w:t>人</w:t>
      </w:r>
      <w:r>
        <w:rPr>
          <w:rFonts w:hint="eastAsia" w:ascii="方正仿宋_GBK" w:hAnsi="方正仿宋_GBK" w:eastAsia="方正仿宋_GBK" w:cs="方正仿宋_GBK"/>
          <w:sz w:val="28"/>
          <w:szCs w:val="28"/>
          <w:highlight w:val="none"/>
          <w:lang w:val="en-US" w:eastAsia="zh-CN"/>
        </w:rPr>
        <w:t>之内</w:t>
      </w:r>
      <w:r>
        <w:rPr>
          <w:rFonts w:hint="eastAsia" w:ascii="方正仿宋_GBK" w:hAnsi="方正仿宋_GBK" w:eastAsia="方正仿宋_GBK" w:cs="方正仿宋_GBK"/>
          <w:sz w:val="28"/>
          <w:szCs w:val="28"/>
          <w:highlight w:val="none"/>
        </w:rPr>
        <w:t>（其中</w:t>
      </w:r>
      <w:r>
        <w:rPr>
          <w:rFonts w:hint="eastAsia" w:ascii="方正仿宋_GBK" w:hAnsi="方正仿宋_GBK" w:eastAsia="方正仿宋_GBK" w:cs="方正仿宋_GBK"/>
          <w:sz w:val="28"/>
          <w:szCs w:val="28"/>
          <w:highlight w:val="none"/>
          <w:lang w:val="en-US" w:eastAsia="zh-CN"/>
        </w:rPr>
        <w:t>永辉、华润超过</w:t>
      </w:r>
      <w:r>
        <w:rPr>
          <w:rFonts w:hint="eastAsia" w:ascii="方正仿宋_GBK" w:hAnsi="方正仿宋_GBK" w:eastAsia="方正仿宋_GBK" w:cs="方正仿宋_GBK"/>
          <w:sz w:val="28"/>
          <w:szCs w:val="28"/>
          <w:highlight w:val="none"/>
        </w:rPr>
        <w:t>于</w:t>
      </w:r>
      <w:r>
        <w:rPr>
          <w:rFonts w:hint="eastAsia" w:ascii="方正仿宋_GBK" w:hAnsi="方正仿宋_GBK" w:eastAsia="方正仿宋_GBK" w:cs="方正仿宋_GBK"/>
          <w:sz w:val="28"/>
          <w:szCs w:val="28"/>
          <w:highlight w:val="none"/>
          <w:lang w:val="en-US" w:eastAsia="zh-CN"/>
        </w:rPr>
        <w:t>25</w:t>
      </w:r>
      <w:r>
        <w:rPr>
          <w:rFonts w:hint="eastAsia" w:ascii="方正仿宋_GBK" w:hAnsi="方正仿宋_GBK" w:eastAsia="方正仿宋_GBK" w:cs="方正仿宋_GBK"/>
          <w:sz w:val="28"/>
          <w:szCs w:val="28"/>
          <w:highlight w:val="none"/>
        </w:rPr>
        <w:t>人、</w:t>
      </w:r>
      <w:r>
        <w:rPr>
          <w:rFonts w:hint="eastAsia" w:ascii="方正仿宋_GBK" w:hAnsi="方正仿宋_GBK" w:eastAsia="方正仿宋_GBK" w:cs="方正仿宋_GBK"/>
          <w:sz w:val="28"/>
          <w:szCs w:val="28"/>
          <w:highlight w:val="none"/>
          <w:lang w:val="en-US" w:eastAsia="zh-CN"/>
        </w:rPr>
        <w:t>盒马不超过25</w:t>
      </w:r>
      <w:r>
        <w:rPr>
          <w:rFonts w:hint="eastAsia" w:ascii="方正仿宋_GBK" w:hAnsi="方正仿宋_GBK" w:eastAsia="方正仿宋_GBK" w:cs="方正仿宋_GBK"/>
          <w:sz w:val="28"/>
          <w:szCs w:val="28"/>
          <w:highlight w:val="none"/>
        </w:rPr>
        <w:t>人、</w:t>
      </w:r>
      <w:r>
        <w:rPr>
          <w:rFonts w:hint="eastAsia" w:ascii="方正仿宋_GBK" w:hAnsi="方正仿宋_GBK" w:eastAsia="方正仿宋_GBK" w:cs="方正仿宋_GBK"/>
          <w:sz w:val="28"/>
          <w:szCs w:val="28"/>
          <w:highlight w:val="none"/>
          <w:lang w:val="en-US" w:eastAsia="zh-CN"/>
        </w:rPr>
        <w:t>活动队不超过25</w:t>
      </w:r>
      <w:r>
        <w:rPr>
          <w:rFonts w:hint="eastAsia" w:ascii="方正仿宋_GBK" w:hAnsi="方正仿宋_GBK" w:eastAsia="方正仿宋_GBK" w:cs="方正仿宋_GBK"/>
          <w:sz w:val="28"/>
          <w:szCs w:val="28"/>
          <w:highlight w:val="none"/>
        </w:rPr>
        <w:t>人）；临促按照甲方业务需要配备。</w:t>
      </w:r>
    </w:p>
    <w:p w14:paraId="29CF6C9D">
      <w:pPr>
        <w:numPr>
          <w:ilvl w:val="0"/>
          <w:numId w:val="28"/>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主要服务内容：按照甲方经营要求提供促销业务外包服务，其中对于外包人员的管理包括但不限于与员工建立劳动关系，缴纳社保、发放薪资福利，处理员工关系，按照协议要求对服务员工进行选择、培训、管理和考核等。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u w:val="single"/>
        </w:rPr>
        <w:t xml:space="preserve">                     </w:t>
      </w:r>
    </w:p>
    <w:p w14:paraId="5180CFA4">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费用结算</w:t>
      </w:r>
    </w:p>
    <w:p w14:paraId="321C8BC5">
      <w:pPr>
        <w:numPr>
          <w:ilvl w:val="0"/>
          <w:numId w:val="29"/>
        </w:numPr>
        <w:adjustRightInd w:val="0"/>
        <w:snapToGrid w:val="0"/>
        <w:spacing w:line="500" w:lineRule="exact"/>
        <w:rPr>
          <w:rFonts w:hint="default" w:ascii="方正仿宋_GBK" w:hAnsi="方正仿宋_GBK" w:eastAsia="方正仿宋_GBK" w:cs="方正仿宋_GBK"/>
          <w:b w:val="0"/>
          <w:bCs w:val="0"/>
          <w:sz w:val="28"/>
          <w:szCs w:val="28"/>
          <w:highlight w:val="none"/>
          <w:lang w:val="en-US"/>
        </w:rPr>
      </w:pPr>
      <w:r>
        <w:rPr>
          <w:rFonts w:hint="eastAsia" w:ascii="方正仿宋_GBK" w:hAnsi="方正仿宋_GBK" w:eastAsia="方正仿宋_GBK" w:cs="方正仿宋_GBK"/>
          <w:b w:val="0"/>
          <w:bCs w:val="0"/>
          <w:sz w:val="28"/>
          <w:szCs w:val="28"/>
          <w:highlight w:val="none"/>
          <w:lang w:val="en-US" w:eastAsia="zh-CN"/>
        </w:rPr>
        <w:t>人员费用：乙方以上月实际在岗的活动队人员、临促人员及长促人员数量为基础，结合经甲方书面确认的乙方合法制定的《导购员绩效考核办法》与《促销队管理方案》，核算上月应支付的人员费用。该费用包含人员工资、绩效奖金、社会保险费用、法定福利、节假日加班报酬及商业保险费用等。</w:t>
      </w:r>
    </w:p>
    <w:p w14:paraId="0EC673D9">
      <w:pPr>
        <w:numPr>
          <w:ilvl w:val="0"/>
          <w:numId w:val="29"/>
        </w:numPr>
        <w:adjustRightInd w:val="0"/>
        <w:snapToGrid w:val="0"/>
        <w:spacing w:line="500" w:lineRule="exact"/>
        <w:rPr>
          <w:rFonts w:hint="default" w:ascii="方正仿宋_GBK" w:hAnsi="方正仿宋_GBK" w:eastAsia="方正仿宋_GBK" w:cs="方正仿宋_GBK"/>
          <w:b w:val="0"/>
          <w:bCs w:val="0"/>
          <w:sz w:val="28"/>
          <w:szCs w:val="28"/>
          <w:highlight w:val="none"/>
          <w:lang w:val="en-US"/>
        </w:rPr>
      </w:pPr>
      <w:r>
        <w:rPr>
          <w:rFonts w:hint="eastAsia" w:ascii="方正仿宋_GBK" w:hAnsi="方正仿宋_GBK" w:eastAsia="方正仿宋_GBK" w:cs="方正仿宋_GBK"/>
          <w:b w:val="0"/>
          <w:bCs w:val="0"/>
          <w:sz w:val="28"/>
          <w:szCs w:val="28"/>
          <w:highlight w:val="none"/>
          <w:lang w:val="en-US" w:eastAsia="zh-CN"/>
        </w:rPr>
        <w:t>外包服务费：按照人员费用的百分比核算，即</w:t>
      </w:r>
      <w:r>
        <w:rPr>
          <w:rFonts w:hint="eastAsia" w:ascii="方正仿宋_GBK" w:hAnsi="方正仿宋_GBK" w:eastAsia="方正仿宋_GBK" w:cs="方正仿宋_GBK"/>
          <w:b w:val="0"/>
          <w:bCs w:val="0"/>
          <w:sz w:val="28"/>
          <w:szCs w:val="28"/>
          <w:highlight w:val="none"/>
          <w:u w:val="single"/>
          <w:lang w:val="en-US" w:eastAsia="zh-CN"/>
        </w:rPr>
        <w:t xml:space="preserve">    </w:t>
      </w:r>
      <w:r>
        <w:rPr>
          <w:rFonts w:hint="eastAsia" w:ascii="方正仿宋_GBK" w:hAnsi="方正仿宋_GBK" w:eastAsia="方正仿宋_GBK" w:cs="方正仿宋_GBK"/>
          <w:b w:val="0"/>
          <w:bCs w:val="0"/>
          <w:sz w:val="28"/>
          <w:szCs w:val="28"/>
          <w:highlight w:val="none"/>
          <w:lang w:val="en-US" w:eastAsia="zh-CN"/>
        </w:rPr>
        <w:t>%。</w:t>
      </w:r>
    </w:p>
    <w:p w14:paraId="79BA62A9">
      <w:pPr>
        <w:numPr>
          <w:ilvl w:val="0"/>
          <w:numId w:val="3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本合同包含的</w:t>
      </w:r>
      <w:r>
        <w:rPr>
          <w:rFonts w:hint="eastAsia" w:ascii="方正仿宋_GBK" w:hAnsi="方正仿宋_GBK" w:eastAsia="方正仿宋_GBK" w:cs="方正仿宋_GBK"/>
          <w:sz w:val="28"/>
          <w:szCs w:val="28"/>
          <w:highlight w:val="none"/>
          <w:lang w:val="en-US" w:eastAsia="zh-CN"/>
        </w:rPr>
        <w:t>人员费用与外包服务费</w:t>
      </w:r>
      <w:r>
        <w:rPr>
          <w:rFonts w:hint="eastAsia" w:ascii="方正仿宋_GBK" w:hAnsi="方正仿宋_GBK" w:eastAsia="方正仿宋_GBK" w:cs="方正仿宋_GBK"/>
          <w:sz w:val="28"/>
          <w:szCs w:val="28"/>
          <w:highlight w:val="none"/>
        </w:rPr>
        <w:t>用已综合考虑到乙方的用人成本、固定投入、管理成本</w:t>
      </w:r>
      <w:r>
        <w:rPr>
          <w:rFonts w:hint="eastAsia" w:ascii="方正仿宋_GBK" w:hAnsi="方正仿宋_GBK" w:eastAsia="方正仿宋_GBK" w:cs="方正仿宋_GBK"/>
          <w:sz w:val="28"/>
          <w:szCs w:val="28"/>
          <w:highlight w:val="none"/>
          <w:lang w:val="en-US" w:eastAsia="zh-CN"/>
        </w:rPr>
        <w:t>及</w:t>
      </w:r>
      <w:r>
        <w:rPr>
          <w:rFonts w:hint="eastAsia" w:ascii="方正仿宋_GBK" w:hAnsi="方正仿宋_GBK" w:eastAsia="方正仿宋_GBK" w:cs="方正仿宋_GBK"/>
          <w:sz w:val="28"/>
          <w:szCs w:val="28"/>
          <w:highlight w:val="none"/>
        </w:rPr>
        <w:t>风险成本</w:t>
      </w:r>
      <w:r>
        <w:rPr>
          <w:rFonts w:hint="eastAsia" w:ascii="方正仿宋_GBK" w:hAnsi="方正仿宋_GBK" w:eastAsia="方正仿宋_GBK" w:cs="方正仿宋_GBK"/>
          <w:sz w:val="28"/>
          <w:szCs w:val="28"/>
          <w:highlight w:val="none"/>
          <w:lang w:val="en-US" w:eastAsia="zh-CN"/>
        </w:rPr>
        <w:t>等全部相关支出，甲方无需再就本合同项下服务单独支付其他任何费用。</w:t>
      </w:r>
    </w:p>
    <w:p w14:paraId="57F0CC61">
      <w:pPr>
        <w:numPr>
          <w:ilvl w:val="0"/>
          <w:numId w:val="3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所有费用均为含税价，适用增值税税率为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%），币种为人民币。</w:t>
      </w:r>
    </w:p>
    <w:p w14:paraId="502DD47A">
      <w:pPr>
        <w:numPr>
          <w:ilvl w:val="0"/>
          <w:numId w:val="3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在合同履行期内，如国家政策、市场行情等因素发生变化，双方重新议价，签订补充协议。</w:t>
      </w:r>
    </w:p>
    <w:p w14:paraId="14118E40">
      <w:pPr>
        <w:numPr>
          <w:ilvl w:val="0"/>
          <w:numId w:val="30"/>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在工作日、休息日、法定节假日，甲方如因经营需要乙方加班或出差，乙方应积极配合维持甲方正常运营。因此产生的乙方员工加班费或差旅费，由甲方按照国家法定标准、劳动合同约定等</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结算给乙方。</w:t>
      </w:r>
    </w:p>
    <w:p w14:paraId="35100CB0">
      <w:pPr>
        <w:numPr>
          <w:ilvl w:val="0"/>
          <w:numId w:val="29"/>
        </w:numPr>
        <w:adjustRightInd w:val="0"/>
        <w:snapToGrid w:val="0"/>
        <w:spacing w:line="500" w:lineRule="exact"/>
        <w:rPr>
          <w:rFonts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结算方式：</w:t>
      </w:r>
    </w:p>
    <w:p w14:paraId="725609A7">
      <w:pPr>
        <w:numPr>
          <w:ilvl w:val="0"/>
          <w:numId w:val="31"/>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甲、乙双方正常结算周期为自然月（每月1日至当月 30日/ 31日，具体以当月实际天数为准）；</w:t>
      </w:r>
    </w:p>
    <w:p w14:paraId="41E3A8FB">
      <w:pPr>
        <w:numPr>
          <w:ilvl w:val="0"/>
          <w:numId w:val="31"/>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val="0"/>
          <w:sz w:val="28"/>
          <w:szCs w:val="28"/>
          <w:highlight w:val="none"/>
        </w:rPr>
        <w:t>甲、乙双方应积极配合核算上月各项费用，乙方于每月</w:t>
      </w:r>
      <w:r>
        <w:rPr>
          <w:rFonts w:hint="eastAsia" w:ascii="方正仿宋_GBK" w:hAnsi="方正仿宋_GBK" w:eastAsia="方正仿宋_GBK" w:cs="方正仿宋_GBK"/>
          <w:b w:val="0"/>
          <w:bCs w:val="0"/>
          <w:sz w:val="28"/>
          <w:szCs w:val="28"/>
          <w:highlight w:val="none"/>
          <w:u w:val="single"/>
        </w:rPr>
        <w:t>13</w:t>
      </w:r>
      <w:r>
        <w:rPr>
          <w:rFonts w:hint="eastAsia" w:ascii="方正仿宋_GBK" w:hAnsi="方正仿宋_GBK" w:eastAsia="方正仿宋_GBK" w:cs="方正仿宋_GBK"/>
          <w:b w:val="0"/>
          <w:bCs w:val="0"/>
          <w:sz w:val="28"/>
          <w:szCs w:val="28"/>
          <w:highlight w:val="none"/>
        </w:rPr>
        <w:t>日前</w:t>
      </w:r>
      <w:r>
        <w:rPr>
          <w:rFonts w:hint="eastAsia" w:ascii="方正仿宋_GBK" w:hAnsi="方正仿宋_GBK" w:eastAsia="方正仿宋_GBK" w:cs="方正仿宋_GBK"/>
          <w:b w:val="0"/>
          <w:bCs w:val="0"/>
          <w:sz w:val="28"/>
          <w:szCs w:val="28"/>
          <w:highlight w:val="none"/>
          <w:lang w:eastAsia="zh-CN"/>
        </w:rPr>
        <w:t>向甲方提交</w:t>
      </w:r>
      <w:r>
        <w:rPr>
          <w:rFonts w:hint="eastAsia" w:ascii="方正仿宋_GBK" w:hAnsi="方正仿宋_GBK" w:eastAsia="方正仿宋_GBK" w:cs="方正仿宋_GBK"/>
          <w:b w:val="0"/>
          <w:bCs w:val="0"/>
          <w:sz w:val="28"/>
          <w:szCs w:val="28"/>
          <w:highlight w:val="none"/>
          <w:lang w:val="en-US" w:eastAsia="zh-CN"/>
        </w:rPr>
        <w:t>上月</w:t>
      </w:r>
      <w:r>
        <w:rPr>
          <w:rFonts w:hint="eastAsia" w:ascii="方正仿宋_GBK" w:hAnsi="方正仿宋_GBK" w:eastAsia="方正仿宋_GBK" w:cs="方正仿宋_GBK"/>
          <w:b w:val="0"/>
          <w:bCs w:val="0"/>
          <w:sz w:val="28"/>
          <w:szCs w:val="28"/>
          <w:highlight w:val="none"/>
          <w:lang w:eastAsia="zh-CN"/>
        </w:rPr>
        <w:t>费用核算明细表、人员考勤记录、考核结果凭证等全套佐证材料，报请甲方审核批准</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sz w:val="28"/>
          <w:szCs w:val="28"/>
          <w:highlight w:val="none"/>
        </w:rPr>
        <w:t>甲方应在收到对账单3个自然日内确认，逾期未确认视为认可对账单。乙方依据双方确认的对账单金额开具增值税发票。</w:t>
      </w:r>
    </w:p>
    <w:p w14:paraId="3335E82B">
      <w:pPr>
        <w:adjustRightInd w:val="0"/>
        <w:snapToGrid w:val="0"/>
        <w:spacing w:line="500" w:lineRule="exact"/>
        <w:ind w:left="425"/>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甲方指定的付款账户及开票信息如下：</w:t>
      </w:r>
    </w:p>
    <w:p w14:paraId="5A0AF996">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w:t>
      </w:r>
      <w:r>
        <w:rPr>
          <w:rFonts w:hint="eastAsia" w:ascii="方正仿宋_GBK" w:hAnsi="方正仿宋_GBK" w:eastAsia="方正仿宋_GBK" w:cs="方正仿宋_GBK"/>
          <w:sz w:val="28"/>
          <w:szCs w:val="28"/>
          <w:highlight w:val="none"/>
          <w:u w:val="single"/>
        </w:rPr>
        <w:t xml:space="preserve">                                      </w:t>
      </w:r>
    </w:p>
    <w:p w14:paraId="0AED1C8E">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开户银行：</w:t>
      </w:r>
      <w:r>
        <w:rPr>
          <w:rFonts w:hint="eastAsia" w:ascii="方正仿宋_GBK" w:hAnsi="方正仿宋_GBK" w:eastAsia="方正仿宋_GBK" w:cs="方正仿宋_GBK"/>
          <w:sz w:val="28"/>
          <w:szCs w:val="28"/>
          <w:highlight w:val="none"/>
          <w:u w:val="single"/>
        </w:rPr>
        <w:t xml:space="preserve">                                      </w:t>
      </w:r>
    </w:p>
    <w:p w14:paraId="48F9C9E8">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r>
        <w:rPr>
          <w:rFonts w:hint="eastAsia" w:ascii="方正仿宋_GBK" w:hAnsi="方正仿宋_GBK" w:eastAsia="方正仿宋_GBK" w:cs="方正仿宋_GBK"/>
          <w:sz w:val="28"/>
          <w:szCs w:val="28"/>
          <w:highlight w:val="none"/>
          <w:u w:val="single"/>
        </w:rPr>
        <w:t xml:space="preserve">                                      </w:t>
      </w:r>
    </w:p>
    <w:p w14:paraId="501202D3">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纳税人识别号：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shd w:val="clear" w:color="auto" w:fill="FFFFFF"/>
        </w:rPr>
        <w:t xml:space="preserve">                  </w:t>
      </w:r>
      <w:r>
        <w:rPr>
          <w:rFonts w:hint="eastAsia" w:ascii="方正仿宋_GBK" w:hAnsi="方正仿宋_GBK" w:eastAsia="方正仿宋_GBK" w:cs="方正仿宋_GBK"/>
          <w:sz w:val="28"/>
          <w:szCs w:val="28"/>
          <w:highlight w:val="none"/>
          <w:u w:val="single"/>
        </w:rPr>
        <w:t xml:space="preserve">               </w:t>
      </w:r>
    </w:p>
    <w:p w14:paraId="4AFE3ED4">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如因甲方原因导致发票丢失等，乙方应积极配合处理，但甲方不得以此为由拒绝支付应付款项，并且甲方应承担由此产生的相关费用和因此导致的乙方全部损失。</w:t>
      </w:r>
    </w:p>
    <w:p w14:paraId="7C2DAD12">
      <w:pPr>
        <w:numPr>
          <w:ilvl w:val="0"/>
          <w:numId w:val="31"/>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甲方应于每月15日前将应付款项足额汇入乙方指定的下述账户(如有变更，以乙方书面告知为准)，如遇节假日提前至最后一个工作日。</w:t>
      </w:r>
    </w:p>
    <w:p w14:paraId="3FD7C22C">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公司名称：</w:t>
      </w:r>
      <w:r>
        <w:rPr>
          <w:rFonts w:hint="eastAsia" w:ascii="方正仿宋_GBK" w:hAnsi="方正仿宋_GBK" w:eastAsia="方正仿宋_GBK" w:cs="方正仿宋_GBK"/>
          <w:sz w:val="28"/>
          <w:szCs w:val="28"/>
          <w:highlight w:val="none"/>
          <w:u w:val="single"/>
        </w:rPr>
        <w:t xml:space="preserve">                                           </w:t>
      </w:r>
    </w:p>
    <w:p w14:paraId="6CFABEB9">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开户银行：</w:t>
      </w:r>
      <w:r>
        <w:rPr>
          <w:rFonts w:hint="eastAsia" w:ascii="方正仿宋_GBK" w:hAnsi="方正仿宋_GBK" w:eastAsia="方正仿宋_GBK" w:cs="方正仿宋_GBK"/>
          <w:sz w:val="28"/>
          <w:szCs w:val="28"/>
          <w:highlight w:val="none"/>
          <w:u w:val="single"/>
        </w:rPr>
        <w:t xml:space="preserve">                                           </w:t>
      </w:r>
    </w:p>
    <w:p w14:paraId="34C4D90B">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银行账号：</w:t>
      </w:r>
      <w:r>
        <w:rPr>
          <w:rFonts w:hint="eastAsia" w:ascii="方正仿宋_GBK" w:hAnsi="方正仿宋_GBK" w:eastAsia="方正仿宋_GBK" w:cs="方正仿宋_GBK"/>
          <w:sz w:val="28"/>
          <w:szCs w:val="28"/>
          <w:highlight w:val="none"/>
          <w:u w:val="single"/>
        </w:rPr>
        <w:t xml:space="preserve">                                           </w:t>
      </w:r>
    </w:p>
    <w:p w14:paraId="2DFAEB7C">
      <w:pPr>
        <w:adjustRightInd w:val="0"/>
        <w:snapToGrid w:val="0"/>
        <w:spacing w:line="50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乙方在收到甲方支付的费用后，</w:t>
      </w:r>
      <w:r>
        <w:rPr>
          <w:rFonts w:hint="eastAsia" w:ascii="方正仿宋_GBK" w:hAnsi="方正仿宋_GBK" w:eastAsia="方正仿宋_GBK" w:cs="方正仿宋_GBK"/>
          <w:sz w:val="28"/>
          <w:szCs w:val="28"/>
          <w:highlight w:val="none"/>
          <w:lang w:eastAsia="zh-CN"/>
        </w:rPr>
        <w:t>应在</w:t>
      </w:r>
      <w:r>
        <w:rPr>
          <w:rFonts w:hint="eastAsia" w:ascii="方正仿宋_GBK" w:hAnsi="方正仿宋_GBK" w:eastAsia="方正仿宋_GBK" w:cs="方正仿宋_GBK"/>
          <w:sz w:val="28"/>
          <w:szCs w:val="28"/>
          <w:highlight w:val="none"/>
        </w:rPr>
        <w:t>10个工作日内，按照与</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rPr>
        <w:t>签订的劳动合同约定标准，足额向</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rPr>
        <w:t>发放工资</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并</w:t>
      </w:r>
      <w:r>
        <w:rPr>
          <w:rFonts w:hint="eastAsia" w:ascii="方正仿宋_GBK" w:hAnsi="方正仿宋_GBK" w:eastAsia="方正仿宋_GBK" w:cs="方正仿宋_GBK"/>
          <w:sz w:val="28"/>
          <w:szCs w:val="28"/>
          <w:highlight w:val="none"/>
          <w:lang w:eastAsia="zh-CN"/>
        </w:rPr>
        <w:t>依法为</w:t>
      </w:r>
      <w:r>
        <w:rPr>
          <w:rFonts w:hint="eastAsia" w:ascii="方正仿宋_GBK" w:hAnsi="方正仿宋_GBK" w:eastAsia="方正仿宋_GBK" w:cs="方正仿宋_GBK"/>
          <w:sz w:val="28"/>
          <w:szCs w:val="28"/>
          <w:highlight w:val="none"/>
          <w:lang w:val="en-US" w:eastAsia="zh-CN"/>
        </w:rPr>
        <w:t>工作人员</w:t>
      </w:r>
      <w:r>
        <w:rPr>
          <w:rFonts w:hint="eastAsia" w:ascii="方正仿宋_GBK" w:hAnsi="方正仿宋_GBK" w:eastAsia="方正仿宋_GBK" w:cs="方正仿宋_GBK"/>
          <w:sz w:val="28"/>
          <w:szCs w:val="28"/>
          <w:highlight w:val="none"/>
          <w:lang w:eastAsia="zh-CN"/>
        </w:rPr>
        <w:t>缴纳社会保险。</w:t>
      </w:r>
    </w:p>
    <w:p w14:paraId="2BC71042">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期限与终止</w:t>
      </w:r>
    </w:p>
    <w:p w14:paraId="269FB220">
      <w:pPr>
        <w:numPr>
          <w:ilvl w:val="0"/>
          <w:numId w:val="32"/>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本协议自</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日至</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日止。在合同履行期内，如国家政策、市场行情等因素发生变化，双方重新议价，签订补充协议。</w:t>
      </w:r>
    </w:p>
    <w:p w14:paraId="2B9B7138">
      <w:pPr>
        <w:numPr>
          <w:ilvl w:val="0"/>
          <w:numId w:val="32"/>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甲、乙任一方未遵守本协议约定履行义务、承担责任的，另一方有权按照约定解除或终止本协议。</w:t>
      </w:r>
    </w:p>
    <w:p w14:paraId="622204F9">
      <w:pPr>
        <w:numPr>
          <w:ilvl w:val="0"/>
          <w:numId w:val="32"/>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乙任一方如遇企业经营情况发生重大变化等（如国家政策调整、新政发布等），需提前解除终止本协议的，应提前2个月以书面形式告知对方，共同妥善处理相关事宜，否则应承担违约责任，特别约定的除外。</w:t>
      </w:r>
    </w:p>
    <w:p w14:paraId="4E33D060">
      <w:pPr>
        <w:numPr>
          <w:ilvl w:val="0"/>
          <w:numId w:val="32"/>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因甲方搬迁、撤店铺导致双方合作提前终止，甲方应至少提前6个月书面通知乙方，双方应本着诚实信用、平等互利的原则，及时沟通各项事宜。</w:t>
      </w:r>
    </w:p>
    <w:p w14:paraId="6AAB6580">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法律责任</w:t>
      </w:r>
    </w:p>
    <w:p w14:paraId="6A7BEAAA">
      <w:pPr>
        <w:numPr>
          <w:ilvl w:val="0"/>
          <w:numId w:val="33"/>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保密义务</w:t>
      </w:r>
    </w:p>
    <w:p w14:paraId="6FC88AF1">
      <w:p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除非一方明确授权，另一方不得在协议履行期间或协议终止、解除后进行下述活动：</w:t>
      </w:r>
    </w:p>
    <w:p w14:paraId="5D4C86FC">
      <w:pPr>
        <w:numPr>
          <w:ilvl w:val="0"/>
          <w:numId w:val="3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向第三方披露保密信息；</w:t>
      </w:r>
    </w:p>
    <w:p w14:paraId="30657548">
      <w:pPr>
        <w:numPr>
          <w:ilvl w:val="0"/>
          <w:numId w:val="3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为公司的利益或其它方的利益使用保密信息；</w:t>
      </w:r>
    </w:p>
    <w:p w14:paraId="5FCCA0CA">
      <w:pPr>
        <w:numPr>
          <w:ilvl w:val="0"/>
          <w:numId w:val="3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公开保密信息；</w:t>
      </w:r>
    </w:p>
    <w:p w14:paraId="0995D3B3">
      <w:pPr>
        <w:numPr>
          <w:ilvl w:val="0"/>
          <w:numId w:val="3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协议终止后保密义务持续 3 年；</w:t>
      </w:r>
    </w:p>
    <w:p w14:paraId="53F8B61D">
      <w:pPr>
        <w:numPr>
          <w:ilvl w:val="0"/>
          <w:numId w:val="34"/>
        </w:numPr>
        <w:adjustRightInd w:val="0"/>
        <w:snapToGrid w:val="0"/>
        <w:spacing w:line="5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任何一方违反以上保密义务给对方造成损失，违约方对受损失方负有停止侵害、消除影响、赔偿损失的责任。</w:t>
      </w:r>
    </w:p>
    <w:p w14:paraId="7F7266FF">
      <w:pPr>
        <w:numPr>
          <w:ilvl w:val="0"/>
          <w:numId w:val="33"/>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违约责任</w:t>
      </w:r>
    </w:p>
    <w:p w14:paraId="3A83C689">
      <w:pPr>
        <w:adjustRightInd w:val="0"/>
        <w:snapToGrid w:val="0"/>
        <w:spacing w:line="500" w:lineRule="exact"/>
        <w:ind w:left="372" w:leftChars="177"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乙任一方违反协议、不履行协议义务或者履行协议义务不符合约定的，应当承担继续履行、采取补救措施或者赔偿损失等违约责任，当事人一方明确表示或者以自己的行为表明不履行合同义务的，当事另一方有权在履行期限届满前请求其承担违约责任要求违约方支付10%的违约金（以当月付款额为基数），违约方应在收到对方违约金主张通知后10日内支付违约金。同时，违约方应承担对方实际经济损失等。</w:t>
      </w:r>
    </w:p>
    <w:p w14:paraId="53ED73C6">
      <w:pPr>
        <w:numPr>
          <w:ilvl w:val="0"/>
          <w:numId w:val="33"/>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不可抗力</w:t>
      </w:r>
    </w:p>
    <w:p w14:paraId="1433CF47">
      <w:pPr>
        <w:adjustRightInd w:val="0"/>
        <w:snapToGrid w:val="0"/>
        <w:spacing w:line="500" w:lineRule="exact"/>
        <w:ind w:left="425"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如发生不可抗力，阻碍受影响方履行其在本协议项下的义务，受影响方应及时书面通知另一方并提供有关该事件的详尽资料，说明其不能履行或延迟履行本协议全部或部分条款的原因。</w:t>
      </w:r>
    </w:p>
    <w:p w14:paraId="60370C23">
      <w:pPr>
        <w:adjustRightInd w:val="0"/>
        <w:snapToGrid w:val="0"/>
        <w:spacing w:line="500" w:lineRule="exact"/>
        <w:ind w:left="425"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发生不可抗力事件后，受影响方均无须对因其未能履行或延迟履行本协议负责，而未能履行或延迟履行不应被视为违反本协议。但基于乙方为履行本协议投入的招聘成本、运营费用、遭受损失等，根据公平合理原则，乙方可要求甲方给予适当补偿或双方另行协商补偿计划。</w:t>
      </w:r>
    </w:p>
    <w:p w14:paraId="06BB63DB">
      <w:pPr>
        <w:numPr>
          <w:ilvl w:val="0"/>
          <w:numId w:val="33"/>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争议解决</w:t>
      </w:r>
    </w:p>
    <w:p w14:paraId="2DBD8C32">
      <w:pPr>
        <w:adjustRightInd w:val="0"/>
        <w:snapToGrid w:val="0"/>
        <w:spacing w:line="500" w:lineRule="exact"/>
        <w:ind w:left="425"/>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基于本协议争议，双方协商解决，协商不成的，向甲方所在地人民法院提起诉讼。</w:t>
      </w:r>
    </w:p>
    <w:p w14:paraId="0A520817">
      <w:pPr>
        <w:numPr>
          <w:ilvl w:val="0"/>
          <w:numId w:val="16"/>
        </w:numPr>
        <w:adjustRightInd w:val="0"/>
        <w:snapToGrid w:val="0"/>
        <w:spacing w:line="500" w:lineRule="exact"/>
        <w:rPr>
          <w:rFonts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其他</w:t>
      </w:r>
    </w:p>
    <w:p w14:paraId="69A69CBC">
      <w:pPr>
        <w:numPr>
          <w:ilvl w:val="0"/>
          <w:numId w:val="3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甲方指定代表人信息：</w:t>
      </w:r>
    </w:p>
    <w:p w14:paraId="036C8C7F">
      <w:pPr>
        <w:adjustRightInd w:val="0"/>
        <w:snapToGrid w:val="0"/>
        <w:spacing w:line="500" w:lineRule="exact"/>
        <w:ind w:firstLine="1120" w:firstLineChars="400"/>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联系人：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，联系电话：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，电子邮箱：</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，通讯地址：</w:t>
      </w:r>
      <w:r>
        <w:rPr>
          <w:rFonts w:hint="eastAsia" w:ascii="方正仿宋_GBK" w:hAnsi="方正仿宋_GBK" w:eastAsia="方正仿宋_GBK" w:cs="方正仿宋_GBK"/>
          <w:sz w:val="28"/>
          <w:szCs w:val="28"/>
          <w:highlight w:val="none"/>
          <w:u w:val="single"/>
        </w:rPr>
        <w:t xml:space="preserve">                </w:t>
      </w:r>
    </w:p>
    <w:p w14:paraId="1B50C87C">
      <w:pPr>
        <w:numPr>
          <w:ilvl w:val="0"/>
          <w:numId w:val="3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乙方指定代表人信息：</w:t>
      </w:r>
    </w:p>
    <w:p w14:paraId="3C7C97FB">
      <w:pPr>
        <w:adjustRightInd w:val="0"/>
        <w:snapToGrid w:val="0"/>
        <w:spacing w:line="500" w:lineRule="exact"/>
        <w:ind w:firstLine="1120" w:firstLineChars="400"/>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联系人：</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，联系电话：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，电子邮箱：</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，通讯地址：</w:t>
      </w:r>
      <w:r>
        <w:rPr>
          <w:rFonts w:hint="eastAsia" w:ascii="方正仿宋_GBK" w:hAnsi="方正仿宋_GBK" w:eastAsia="方正仿宋_GBK" w:cs="方正仿宋_GBK"/>
          <w:sz w:val="28"/>
          <w:szCs w:val="28"/>
          <w:highlight w:val="none"/>
          <w:u w:val="single"/>
        </w:rPr>
        <w:t xml:space="preserve">          </w:t>
      </w:r>
    </w:p>
    <w:p w14:paraId="4F65958E">
      <w:pPr>
        <w:numPr>
          <w:ilvl w:val="0"/>
          <w:numId w:val="3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本协议未尽事宜，双方另行签署《补充协议》，具有同等法律效力，抵触部分以补充协议为准。</w:t>
      </w:r>
    </w:p>
    <w:p w14:paraId="359C95AD">
      <w:pPr>
        <w:numPr>
          <w:ilvl w:val="0"/>
          <w:numId w:val="35"/>
        </w:numPr>
        <w:adjustRightInd w:val="0"/>
        <w:snapToGrid w:val="0"/>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本协议一式肆份，甲、乙双方各执贰份，自双方签字盖章之日起生效。</w:t>
      </w:r>
    </w:p>
    <w:p w14:paraId="1408E20B">
      <w:pPr>
        <w:spacing w:line="500" w:lineRule="exact"/>
        <w:rPr>
          <w:rFonts w:ascii="方正仿宋_GBK" w:hAnsi="方正仿宋_GBK" w:eastAsia="方正仿宋_GBK" w:cs="方正仿宋_GBK"/>
          <w:sz w:val="28"/>
          <w:szCs w:val="28"/>
          <w:highlight w:val="none"/>
        </w:rPr>
      </w:pPr>
    </w:p>
    <w:p w14:paraId="143356E9">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甲    方：                           乙    方： </w:t>
      </w:r>
    </w:p>
    <w:p w14:paraId="53DA2CCC">
      <w:pPr>
        <w:spacing w:line="500" w:lineRule="exact"/>
        <w:rPr>
          <w:rFonts w:ascii="方正仿宋_GBK" w:hAnsi="方正仿宋_GBK" w:eastAsia="方正仿宋_GBK" w:cs="方正仿宋_GBK"/>
          <w:sz w:val="28"/>
          <w:szCs w:val="28"/>
          <w:highlight w:val="none"/>
        </w:rPr>
      </w:pPr>
    </w:p>
    <w:p w14:paraId="029E36CB">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法定代表人/授权代表：                 法定代表人/授权代表：                                     </w:t>
      </w:r>
    </w:p>
    <w:p w14:paraId="196EFFCF">
      <w:pPr>
        <w:spacing w:line="5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签约日期：                            签约日期：</w:t>
      </w:r>
    </w:p>
    <w:p w14:paraId="6258FACE">
      <w:pPr>
        <w:spacing w:line="500" w:lineRule="exact"/>
        <w:rPr>
          <w:rFonts w:ascii="方正仿宋_GBK" w:hAnsi="方正仿宋_GBK" w:eastAsia="方正仿宋_GBK" w:cs="方正仿宋_GBK"/>
          <w:color w:val="000000" w:themeColor="text1"/>
          <w:sz w:val="28"/>
          <w:szCs w:val="28"/>
          <w:highlight w:val="none"/>
          <w14:textFill>
            <w14:solidFill>
              <w14:schemeClr w14:val="tx1"/>
            </w14:solidFill>
          </w14:textFill>
        </w:rPr>
      </w:pPr>
    </w:p>
    <w:p w14:paraId="425AE9FD">
      <w:pPr>
        <w:spacing w:line="500" w:lineRule="exact"/>
        <w:rPr>
          <w:rFonts w:ascii="方正仿宋_GBK" w:hAnsi="方正仿宋_GBK" w:eastAsia="方正仿宋_GBK" w:cs="方正仿宋_GBK"/>
          <w:color w:val="000000" w:themeColor="text1"/>
          <w:sz w:val="28"/>
          <w:szCs w:val="28"/>
          <w:highlight w:val="none"/>
          <w14:textFill>
            <w14:solidFill>
              <w14:schemeClr w14:val="tx1"/>
            </w14:solidFill>
          </w14:textFill>
        </w:rPr>
      </w:pPr>
    </w:p>
    <w:p w14:paraId="2A539D30">
      <w:pPr>
        <w:rPr>
          <w:rFonts w:ascii="Times New Roman" w:hAnsi="Times New Roman"/>
          <w:color w:val="000000" w:themeColor="text1"/>
          <w:highlight w:val="none"/>
          <w14:textFill>
            <w14:solidFill>
              <w14:schemeClr w14:val="tx1"/>
            </w14:solidFill>
          </w14:textFill>
        </w:rPr>
      </w:pPr>
    </w:p>
    <w:p w14:paraId="0ABE12BC">
      <w:pPr>
        <w:rPr>
          <w:rFonts w:ascii="Times New Roman" w:hAnsi="Times New Roman"/>
          <w:color w:val="000000" w:themeColor="text1"/>
          <w:highlight w:val="none"/>
          <w14:textFill>
            <w14:solidFill>
              <w14:schemeClr w14:val="tx1"/>
            </w14:solidFill>
          </w14:textFill>
        </w:rPr>
      </w:pPr>
    </w:p>
    <w:p w14:paraId="000233B8">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36895C7-2BC7-4B3F-87AF-DC9EBBB9C9A5}"/>
  </w:font>
  <w:font w:name="仿宋_GB2312">
    <w:panose1 w:val="02010609030101010101"/>
    <w:charset w:val="86"/>
    <w:family w:val="modern"/>
    <w:pitch w:val="default"/>
    <w:sig w:usb0="00000001" w:usb1="080E0000" w:usb2="00000000" w:usb3="00000000" w:csb0="00040000" w:csb1="00000000"/>
    <w:embedRegular r:id="rId2" w:fontKey="{36FE6D23-6342-476B-AC09-C0C85C461ECA}"/>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3" w:fontKey="{14602F36-BE72-4E8F-B6A5-89A43A32853C}"/>
  </w:font>
  <w:font w:name="方正仿宋_GBK">
    <w:panose1 w:val="03000509000000000000"/>
    <w:charset w:val="86"/>
    <w:family w:val="script"/>
    <w:pitch w:val="default"/>
    <w:sig w:usb0="00000001" w:usb1="080E0000" w:usb2="00000000" w:usb3="00000000" w:csb0="00040000" w:csb1="00000000"/>
    <w:embedRegular r:id="rId4" w:fontKey="{16A422B6-17CC-4A19-86C7-0266F3DAAA36}"/>
  </w:font>
  <w:font w:name="方正楷体_GBK">
    <w:panose1 w:val="03000509000000000000"/>
    <w:charset w:val="86"/>
    <w:family w:val="auto"/>
    <w:pitch w:val="default"/>
    <w:sig w:usb0="00000001" w:usb1="080E0000" w:usb2="00000000" w:usb3="00000000" w:csb0="00040000" w:csb1="00000000"/>
    <w:embedRegular r:id="rId5" w:fontKey="{514FAC70-6AE5-444F-94F2-0043061E7385}"/>
  </w:font>
  <w:font w:name="Segoe UI">
    <w:panose1 w:val="020B0502040204020203"/>
    <w:charset w:val="00"/>
    <w:family w:val="swiss"/>
    <w:pitch w:val="default"/>
    <w:sig w:usb0="E4002EFF" w:usb1="C000E47F" w:usb2="00000009" w:usb3="00000000" w:csb0="200001FF" w:csb1="00000000"/>
    <w:embedRegular r:id="rId6" w:fontKey="{429EDB36-AB98-4110-8865-1B6AD5D59A83}"/>
  </w:font>
  <w:font w:name="方正小标宋_GBK">
    <w:panose1 w:val="03000509000000000000"/>
    <w:charset w:val="86"/>
    <w:family w:val="script"/>
    <w:pitch w:val="default"/>
    <w:sig w:usb0="00000001" w:usb1="080E0000" w:usb2="00000000" w:usb3="00000000" w:csb0="00040000" w:csb1="00000000"/>
    <w:embedRegular r:id="rId7" w:fontKey="{FC14024B-2CBA-4265-B15A-E2ED0CB30E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F07D">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44236">
    <w:pPr>
      <w:pStyle w:val="7"/>
      <w:framePr w:wrap="around" w:vAnchor="text" w:hAnchor="margin" w:xAlign="center" w:y="1"/>
      <w:rPr>
        <w:rStyle w:val="13"/>
      </w:rPr>
    </w:pPr>
    <w:r>
      <w:fldChar w:fldCharType="begin"/>
    </w:r>
    <w:r>
      <w:rPr>
        <w:rStyle w:val="13"/>
      </w:rPr>
      <w:instrText xml:space="preserve">PAGE  </w:instrText>
    </w:r>
    <w:r>
      <w:fldChar w:fldCharType="end"/>
    </w:r>
  </w:p>
  <w:p w14:paraId="450A815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92BC">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49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23FF">
    <w:pPr>
      <w:pStyle w:val="8"/>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E5B7">
    <w:pPr>
      <w:pStyle w:val="8"/>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2703"/>
    <w:multiLevelType w:val="singleLevel"/>
    <w:tmpl w:val="86052703"/>
    <w:lvl w:ilvl="0" w:tentative="0">
      <w:start w:val="1"/>
      <w:numFmt w:val="chineseCounting"/>
      <w:suff w:val="nothing"/>
      <w:lvlText w:val="（%1）"/>
      <w:lvlJc w:val="left"/>
      <w:pPr>
        <w:ind w:left="0" w:firstLine="420"/>
      </w:pPr>
      <w:rPr>
        <w:rFonts w:hint="eastAsia"/>
      </w:rPr>
    </w:lvl>
  </w:abstractNum>
  <w:abstractNum w:abstractNumId="1">
    <w:nsid w:val="89780B1A"/>
    <w:multiLevelType w:val="singleLevel"/>
    <w:tmpl w:val="89780B1A"/>
    <w:lvl w:ilvl="0" w:tentative="0">
      <w:start w:val="1"/>
      <w:numFmt w:val="chineseCounting"/>
      <w:suff w:val="nothing"/>
      <w:lvlText w:val="%1、"/>
      <w:lvlJc w:val="left"/>
      <w:pPr>
        <w:ind w:left="0" w:firstLine="420"/>
      </w:pPr>
      <w:rPr>
        <w:rFonts w:hint="eastAsia"/>
      </w:rPr>
    </w:lvl>
  </w:abstractNum>
  <w:abstractNum w:abstractNumId="2">
    <w:nsid w:val="8BDD854C"/>
    <w:multiLevelType w:val="singleLevel"/>
    <w:tmpl w:val="8BDD854C"/>
    <w:lvl w:ilvl="0" w:tentative="0">
      <w:start w:val="1"/>
      <w:numFmt w:val="decimal"/>
      <w:suff w:val="nothing"/>
      <w:lvlText w:val="%1．"/>
      <w:lvlJc w:val="left"/>
      <w:pPr>
        <w:ind w:left="0" w:firstLine="400"/>
      </w:pPr>
      <w:rPr>
        <w:rFonts w:hint="default"/>
      </w:rPr>
    </w:lvl>
  </w:abstractNum>
  <w:abstractNum w:abstractNumId="3">
    <w:nsid w:val="8D01CF37"/>
    <w:multiLevelType w:val="singleLevel"/>
    <w:tmpl w:val="8D01CF37"/>
    <w:lvl w:ilvl="0" w:tentative="0">
      <w:start w:val="1"/>
      <w:numFmt w:val="chineseCounting"/>
      <w:suff w:val="nothing"/>
      <w:lvlText w:val="（%1）"/>
      <w:lvlJc w:val="left"/>
      <w:pPr>
        <w:ind w:left="0" w:firstLine="420"/>
      </w:pPr>
      <w:rPr>
        <w:rFonts w:hint="eastAsia"/>
      </w:rPr>
    </w:lvl>
  </w:abstractNum>
  <w:abstractNum w:abstractNumId="4">
    <w:nsid w:val="A180DEF5"/>
    <w:multiLevelType w:val="singleLevel"/>
    <w:tmpl w:val="A180DEF5"/>
    <w:lvl w:ilvl="0" w:tentative="0">
      <w:start w:val="1"/>
      <w:numFmt w:val="chineseCounting"/>
      <w:suff w:val="nothing"/>
      <w:lvlText w:val="（%1）"/>
      <w:lvlJc w:val="left"/>
      <w:pPr>
        <w:ind w:left="0" w:firstLine="420"/>
      </w:pPr>
      <w:rPr>
        <w:rFonts w:hint="eastAsia"/>
      </w:rPr>
    </w:lvl>
  </w:abstractNum>
  <w:abstractNum w:abstractNumId="5">
    <w:nsid w:val="A30DFC92"/>
    <w:multiLevelType w:val="singleLevel"/>
    <w:tmpl w:val="A30DFC92"/>
    <w:lvl w:ilvl="0" w:tentative="0">
      <w:start w:val="1"/>
      <w:numFmt w:val="chineseCounting"/>
      <w:suff w:val="nothing"/>
      <w:lvlText w:val="（%1）"/>
      <w:lvlJc w:val="left"/>
      <w:pPr>
        <w:ind w:left="0" w:firstLine="420"/>
      </w:pPr>
      <w:rPr>
        <w:rFonts w:hint="eastAsia"/>
      </w:rPr>
    </w:lvl>
  </w:abstractNum>
  <w:abstractNum w:abstractNumId="6">
    <w:nsid w:val="AF82CB05"/>
    <w:multiLevelType w:val="singleLevel"/>
    <w:tmpl w:val="AF82CB05"/>
    <w:lvl w:ilvl="0" w:tentative="0">
      <w:start w:val="1"/>
      <w:numFmt w:val="chineseCounting"/>
      <w:suff w:val="nothing"/>
      <w:lvlText w:val="%1、"/>
      <w:lvlJc w:val="left"/>
      <w:pPr>
        <w:ind w:left="0" w:firstLine="420"/>
      </w:pPr>
      <w:rPr>
        <w:rFonts w:hint="eastAsia" w:ascii="方正黑体_GBK" w:hAnsi="方正黑体_GBK" w:eastAsia="方正黑体_GBK" w:cs="方正黑体_GBK"/>
        <w:b w:val="0"/>
        <w:bCs w:val="0"/>
      </w:rPr>
    </w:lvl>
  </w:abstractNum>
  <w:abstractNum w:abstractNumId="7">
    <w:nsid w:val="BC173C73"/>
    <w:multiLevelType w:val="singleLevel"/>
    <w:tmpl w:val="BC173C73"/>
    <w:lvl w:ilvl="0" w:tentative="0">
      <w:start w:val="1"/>
      <w:numFmt w:val="chineseCounting"/>
      <w:suff w:val="nothing"/>
      <w:lvlText w:val="（%1）"/>
      <w:lvlJc w:val="left"/>
      <w:pPr>
        <w:ind w:left="0" w:firstLine="420"/>
      </w:pPr>
      <w:rPr>
        <w:rFonts w:hint="eastAsia"/>
        <w:b w:val="0"/>
        <w:bCs w:val="0"/>
      </w:rPr>
    </w:lvl>
  </w:abstractNum>
  <w:abstractNum w:abstractNumId="8">
    <w:nsid w:val="BF6A4709"/>
    <w:multiLevelType w:val="singleLevel"/>
    <w:tmpl w:val="BF6A4709"/>
    <w:lvl w:ilvl="0" w:tentative="0">
      <w:start w:val="1"/>
      <w:numFmt w:val="chineseCounting"/>
      <w:suff w:val="nothing"/>
      <w:lvlText w:val="（%1）"/>
      <w:lvlJc w:val="left"/>
      <w:pPr>
        <w:ind w:left="0" w:firstLine="420"/>
      </w:pPr>
      <w:rPr>
        <w:rFonts w:hint="eastAsia"/>
      </w:rPr>
    </w:lvl>
  </w:abstractNum>
  <w:abstractNum w:abstractNumId="9">
    <w:nsid w:val="C268A488"/>
    <w:multiLevelType w:val="singleLevel"/>
    <w:tmpl w:val="C268A488"/>
    <w:lvl w:ilvl="0" w:tentative="0">
      <w:start w:val="1"/>
      <w:numFmt w:val="decimal"/>
      <w:suff w:val="nothing"/>
      <w:lvlText w:val="%1．"/>
      <w:lvlJc w:val="left"/>
      <w:pPr>
        <w:ind w:left="0" w:firstLine="400"/>
      </w:pPr>
      <w:rPr>
        <w:rFonts w:hint="default"/>
      </w:rPr>
    </w:lvl>
  </w:abstractNum>
  <w:abstractNum w:abstractNumId="10">
    <w:nsid w:val="C5AEB0E7"/>
    <w:multiLevelType w:val="singleLevel"/>
    <w:tmpl w:val="C5AEB0E7"/>
    <w:lvl w:ilvl="0" w:tentative="0">
      <w:start w:val="1"/>
      <w:numFmt w:val="decimal"/>
      <w:suff w:val="nothing"/>
      <w:lvlText w:val="%1．"/>
      <w:lvlJc w:val="left"/>
      <w:pPr>
        <w:ind w:left="0" w:firstLine="400"/>
      </w:pPr>
      <w:rPr>
        <w:rFonts w:hint="default"/>
      </w:rPr>
    </w:lvl>
  </w:abstractNum>
  <w:abstractNum w:abstractNumId="11">
    <w:nsid w:val="C8622028"/>
    <w:multiLevelType w:val="singleLevel"/>
    <w:tmpl w:val="C8622028"/>
    <w:lvl w:ilvl="0" w:tentative="0">
      <w:start w:val="1"/>
      <w:numFmt w:val="chineseCounting"/>
      <w:suff w:val="nothing"/>
      <w:lvlText w:val="（%1）"/>
      <w:lvlJc w:val="left"/>
      <w:pPr>
        <w:ind w:left="0" w:firstLine="420"/>
      </w:pPr>
      <w:rPr>
        <w:rFonts w:hint="eastAsia"/>
      </w:rPr>
    </w:lvl>
  </w:abstractNum>
  <w:abstractNum w:abstractNumId="12">
    <w:nsid w:val="C9F53F4B"/>
    <w:multiLevelType w:val="singleLevel"/>
    <w:tmpl w:val="C9F53F4B"/>
    <w:lvl w:ilvl="0" w:tentative="0">
      <w:start w:val="1"/>
      <w:numFmt w:val="decimal"/>
      <w:suff w:val="nothing"/>
      <w:lvlText w:val="%1．"/>
      <w:lvlJc w:val="left"/>
      <w:pPr>
        <w:ind w:left="0" w:firstLine="400"/>
      </w:pPr>
      <w:rPr>
        <w:rFonts w:hint="default"/>
      </w:rPr>
    </w:lvl>
  </w:abstractNum>
  <w:abstractNum w:abstractNumId="13">
    <w:nsid w:val="D0044CB6"/>
    <w:multiLevelType w:val="singleLevel"/>
    <w:tmpl w:val="D0044CB6"/>
    <w:lvl w:ilvl="0" w:tentative="0">
      <w:start w:val="1"/>
      <w:numFmt w:val="chineseCounting"/>
      <w:suff w:val="nothing"/>
      <w:lvlText w:val="%1、"/>
      <w:lvlJc w:val="left"/>
      <w:pPr>
        <w:ind w:left="0" w:firstLine="420"/>
      </w:pPr>
      <w:rPr>
        <w:rFonts w:hint="eastAsia"/>
      </w:rPr>
    </w:lvl>
  </w:abstractNum>
  <w:abstractNum w:abstractNumId="14">
    <w:nsid w:val="DBF29B90"/>
    <w:multiLevelType w:val="singleLevel"/>
    <w:tmpl w:val="DBF29B90"/>
    <w:lvl w:ilvl="0" w:tentative="0">
      <w:start w:val="1"/>
      <w:numFmt w:val="chineseCounting"/>
      <w:suff w:val="nothing"/>
      <w:lvlText w:val="（%1）"/>
      <w:lvlJc w:val="left"/>
      <w:pPr>
        <w:ind w:left="0" w:firstLine="420"/>
      </w:pPr>
      <w:rPr>
        <w:rFonts w:hint="eastAsia"/>
      </w:rPr>
    </w:lvl>
  </w:abstractNum>
  <w:abstractNum w:abstractNumId="15">
    <w:nsid w:val="EBFA62D8"/>
    <w:multiLevelType w:val="singleLevel"/>
    <w:tmpl w:val="EBFA62D8"/>
    <w:lvl w:ilvl="0" w:tentative="0">
      <w:start w:val="1"/>
      <w:numFmt w:val="decimal"/>
      <w:suff w:val="nothing"/>
      <w:lvlText w:val="%1．"/>
      <w:lvlJc w:val="left"/>
      <w:pPr>
        <w:ind w:left="0" w:firstLine="400"/>
      </w:pPr>
      <w:rPr>
        <w:rFonts w:hint="default"/>
      </w:rPr>
    </w:lvl>
  </w:abstractNum>
  <w:abstractNum w:abstractNumId="16">
    <w:nsid w:val="F2635F95"/>
    <w:multiLevelType w:val="singleLevel"/>
    <w:tmpl w:val="F2635F95"/>
    <w:lvl w:ilvl="0" w:tentative="0">
      <w:start w:val="1"/>
      <w:numFmt w:val="decimal"/>
      <w:suff w:val="nothing"/>
      <w:lvlText w:val="%1．"/>
      <w:lvlJc w:val="left"/>
      <w:pPr>
        <w:ind w:left="0" w:firstLine="400"/>
      </w:pPr>
      <w:rPr>
        <w:rFonts w:hint="default"/>
      </w:rPr>
    </w:lvl>
  </w:abstractNum>
  <w:abstractNum w:abstractNumId="17">
    <w:nsid w:val="F3398B7B"/>
    <w:multiLevelType w:val="singleLevel"/>
    <w:tmpl w:val="F3398B7B"/>
    <w:lvl w:ilvl="0" w:tentative="0">
      <w:start w:val="1"/>
      <w:numFmt w:val="chineseCounting"/>
      <w:suff w:val="nothing"/>
      <w:lvlText w:val="（%1）"/>
      <w:lvlJc w:val="left"/>
      <w:pPr>
        <w:ind w:left="0" w:firstLine="420"/>
      </w:pPr>
      <w:rPr>
        <w:rFonts w:hint="eastAsia"/>
      </w:rPr>
    </w:lvl>
  </w:abstractNum>
  <w:abstractNum w:abstractNumId="18">
    <w:nsid w:val="F8AF3280"/>
    <w:multiLevelType w:val="singleLevel"/>
    <w:tmpl w:val="F8AF3280"/>
    <w:lvl w:ilvl="0" w:tentative="0">
      <w:start w:val="1"/>
      <w:numFmt w:val="decimalEnclosedCircleChinese"/>
      <w:suff w:val="nothing"/>
      <w:lvlText w:val="%1　"/>
      <w:lvlJc w:val="left"/>
      <w:pPr>
        <w:ind w:left="0" w:firstLine="400"/>
      </w:pPr>
      <w:rPr>
        <w:rFonts w:hint="eastAsia"/>
      </w:rPr>
    </w:lvl>
  </w:abstractNum>
  <w:abstractNum w:abstractNumId="19">
    <w:nsid w:val="FC84945B"/>
    <w:multiLevelType w:val="singleLevel"/>
    <w:tmpl w:val="FC84945B"/>
    <w:lvl w:ilvl="0" w:tentative="0">
      <w:start w:val="1"/>
      <w:numFmt w:val="decimal"/>
      <w:suff w:val="nothing"/>
      <w:lvlText w:val="%1．"/>
      <w:lvlJc w:val="left"/>
      <w:pPr>
        <w:ind w:left="0" w:firstLine="400"/>
      </w:pPr>
      <w:rPr>
        <w:rFonts w:hint="default"/>
      </w:rPr>
    </w:lvl>
  </w:abstractNum>
  <w:abstractNum w:abstractNumId="20">
    <w:nsid w:val="FDEF604A"/>
    <w:multiLevelType w:val="singleLevel"/>
    <w:tmpl w:val="FDEF604A"/>
    <w:lvl w:ilvl="0" w:tentative="0">
      <w:start w:val="1"/>
      <w:numFmt w:val="chineseCounting"/>
      <w:suff w:val="nothing"/>
      <w:lvlText w:val="（%1）"/>
      <w:lvlJc w:val="left"/>
      <w:pPr>
        <w:ind w:left="0" w:firstLine="420"/>
      </w:pPr>
      <w:rPr>
        <w:rFonts w:hint="eastAsia"/>
      </w:rPr>
    </w:lvl>
  </w:abstractNum>
  <w:abstractNum w:abstractNumId="21">
    <w:nsid w:val="075B5AEF"/>
    <w:multiLevelType w:val="singleLevel"/>
    <w:tmpl w:val="075B5AEF"/>
    <w:lvl w:ilvl="0" w:tentative="0">
      <w:start w:val="1"/>
      <w:numFmt w:val="decimal"/>
      <w:suff w:val="nothing"/>
      <w:lvlText w:val="%1．"/>
      <w:lvlJc w:val="left"/>
      <w:pPr>
        <w:ind w:left="0" w:firstLine="400"/>
      </w:pPr>
      <w:rPr>
        <w:rFonts w:hint="default"/>
      </w:rPr>
    </w:lvl>
  </w:abstractNum>
  <w:abstractNum w:abstractNumId="22">
    <w:nsid w:val="16D2A5B9"/>
    <w:multiLevelType w:val="singleLevel"/>
    <w:tmpl w:val="16D2A5B9"/>
    <w:lvl w:ilvl="0" w:tentative="0">
      <w:start w:val="1"/>
      <w:numFmt w:val="chineseCounting"/>
      <w:suff w:val="nothing"/>
      <w:lvlText w:val="（%1）"/>
      <w:lvlJc w:val="left"/>
      <w:pPr>
        <w:ind w:left="0" w:firstLine="420"/>
      </w:pPr>
      <w:rPr>
        <w:rFonts w:hint="eastAsia"/>
      </w:rPr>
    </w:lvl>
  </w:abstractNum>
  <w:abstractNum w:abstractNumId="23">
    <w:nsid w:val="1B5796E5"/>
    <w:multiLevelType w:val="singleLevel"/>
    <w:tmpl w:val="1B5796E5"/>
    <w:lvl w:ilvl="0" w:tentative="0">
      <w:start w:val="1"/>
      <w:numFmt w:val="chineseCounting"/>
      <w:suff w:val="nothing"/>
      <w:lvlText w:val="（%1）"/>
      <w:lvlJc w:val="left"/>
      <w:pPr>
        <w:ind w:left="0" w:firstLine="420"/>
      </w:pPr>
      <w:rPr>
        <w:rFonts w:hint="eastAsia"/>
      </w:rPr>
    </w:lvl>
  </w:abstractNum>
  <w:abstractNum w:abstractNumId="24">
    <w:nsid w:val="213D9CAF"/>
    <w:multiLevelType w:val="singleLevel"/>
    <w:tmpl w:val="213D9CAF"/>
    <w:lvl w:ilvl="0" w:tentative="0">
      <w:start w:val="1"/>
      <w:numFmt w:val="chineseCounting"/>
      <w:suff w:val="nothing"/>
      <w:lvlText w:val="（%1）"/>
      <w:lvlJc w:val="left"/>
      <w:pPr>
        <w:ind w:left="0" w:firstLine="420"/>
      </w:pPr>
      <w:rPr>
        <w:rFonts w:hint="eastAsia"/>
      </w:rPr>
    </w:lvl>
  </w:abstractNum>
  <w:abstractNum w:abstractNumId="25">
    <w:nsid w:val="2498EC4F"/>
    <w:multiLevelType w:val="singleLevel"/>
    <w:tmpl w:val="2498EC4F"/>
    <w:lvl w:ilvl="0" w:tentative="0">
      <w:start w:val="1"/>
      <w:numFmt w:val="chineseCounting"/>
      <w:suff w:val="nothing"/>
      <w:lvlText w:val="%1、"/>
      <w:lvlJc w:val="left"/>
      <w:pPr>
        <w:ind w:left="0" w:firstLine="420"/>
      </w:pPr>
      <w:rPr>
        <w:rFonts w:hint="eastAsia"/>
      </w:rPr>
    </w:lvl>
  </w:abstractNum>
  <w:abstractNum w:abstractNumId="26">
    <w:nsid w:val="2B3FF306"/>
    <w:multiLevelType w:val="singleLevel"/>
    <w:tmpl w:val="2B3FF306"/>
    <w:lvl w:ilvl="0" w:tentative="0">
      <w:start w:val="1"/>
      <w:numFmt w:val="decimal"/>
      <w:suff w:val="nothing"/>
      <w:lvlText w:val="%1．"/>
      <w:lvlJc w:val="left"/>
      <w:pPr>
        <w:ind w:left="0" w:firstLine="400"/>
      </w:pPr>
      <w:rPr>
        <w:rFonts w:hint="default"/>
      </w:rPr>
    </w:lvl>
  </w:abstractNum>
  <w:abstractNum w:abstractNumId="27">
    <w:nsid w:val="30F55254"/>
    <w:multiLevelType w:val="singleLevel"/>
    <w:tmpl w:val="30F55254"/>
    <w:lvl w:ilvl="0" w:tentative="0">
      <w:start w:val="1"/>
      <w:numFmt w:val="chineseCounting"/>
      <w:suff w:val="nothing"/>
      <w:lvlText w:val="（%1）"/>
      <w:lvlJc w:val="left"/>
      <w:pPr>
        <w:ind w:left="0" w:firstLine="420"/>
      </w:pPr>
      <w:rPr>
        <w:rFonts w:hint="eastAsia"/>
      </w:rPr>
    </w:lvl>
  </w:abstractNum>
  <w:abstractNum w:abstractNumId="28">
    <w:nsid w:val="30FC203C"/>
    <w:multiLevelType w:val="singleLevel"/>
    <w:tmpl w:val="30FC203C"/>
    <w:lvl w:ilvl="0" w:tentative="0">
      <w:start w:val="1"/>
      <w:numFmt w:val="chineseCounting"/>
      <w:suff w:val="nothing"/>
      <w:lvlText w:val="（%1）"/>
      <w:lvlJc w:val="left"/>
      <w:pPr>
        <w:ind w:left="0" w:firstLine="420"/>
      </w:pPr>
      <w:rPr>
        <w:rFonts w:hint="eastAsia"/>
      </w:rPr>
    </w:lvl>
  </w:abstractNum>
  <w:abstractNum w:abstractNumId="29">
    <w:nsid w:val="4A6BF6C8"/>
    <w:multiLevelType w:val="singleLevel"/>
    <w:tmpl w:val="4A6BF6C8"/>
    <w:lvl w:ilvl="0" w:tentative="0">
      <w:start w:val="1"/>
      <w:numFmt w:val="chineseCounting"/>
      <w:suff w:val="nothing"/>
      <w:lvlText w:val="（%1）"/>
      <w:lvlJc w:val="left"/>
      <w:pPr>
        <w:ind w:left="0" w:firstLine="420"/>
      </w:pPr>
      <w:rPr>
        <w:rFonts w:hint="eastAsia"/>
      </w:rPr>
    </w:lvl>
  </w:abstractNum>
  <w:abstractNum w:abstractNumId="30">
    <w:nsid w:val="4EE3277E"/>
    <w:multiLevelType w:val="singleLevel"/>
    <w:tmpl w:val="4EE3277E"/>
    <w:lvl w:ilvl="0" w:tentative="0">
      <w:start w:val="1"/>
      <w:numFmt w:val="decimal"/>
      <w:suff w:val="nothing"/>
      <w:lvlText w:val="%1．"/>
      <w:lvlJc w:val="left"/>
      <w:pPr>
        <w:ind w:left="0" w:firstLine="400"/>
      </w:pPr>
      <w:rPr>
        <w:rFonts w:hint="default"/>
      </w:rPr>
    </w:lvl>
  </w:abstractNum>
  <w:abstractNum w:abstractNumId="31">
    <w:nsid w:val="636C0971"/>
    <w:multiLevelType w:val="singleLevel"/>
    <w:tmpl w:val="636C0971"/>
    <w:lvl w:ilvl="0" w:tentative="0">
      <w:start w:val="1"/>
      <w:numFmt w:val="decimal"/>
      <w:suff w:val="nothing"/>
      <w:lvlText w:val="%1．"/>
      <w:lvlJc w:val="left"/>
      <w:pPr>
        <w:ind w:left="0" w:firstLine="400"/>
      </w:pPr>
      <w:rPr>
        <w:rFonts w:hint="default"/>
      </w:rPr>
    </w:lvl>
  </w:abstractNum>
  <w:abstractNum w:abstractNumId="32">
    <w:nsid w:val="649A9F43"/>
    <w:multiLevelType w:val="singleLevel"/>
    <w:tmpl w:val="649A9F43"/>
    <w:lvl w:ilvl="0" w:tentative="0">
      <w:start w:val="1"/>
      <w:numFmt w:val="chineseCounting"/>
      <w:suff w:val="nothing"/>
      <w:lvlText w:val="%1、"/>
      <w:lvlJc w:val="left"/>
      <w:rPr>
        <w:rFonts w:hint="eastAsia"/>
      </w:rPr>
    </w:lvl>
  </w:abstractNum>
  <w:abstractNum w:abstractNumId="33">
    <w:nsid w:val="6A1922A8"/>
    <w:multiLevelType w:val="singleLevel"/>
    <w:tmpl w:val="6A1922A8"/>
    <w:lvl w:ilvl="0" w:tentative="0">
      <w:start w:val="1"/>
      <w:numFmt w:val="chineseCounting"/>
      <w:suff w:val="nothing"/>
      <w:lvlText w:val="（%1）"/>
      <w:lvlJc w:val="left"/>
      <w:pPr>
        <w:ind w:left="0" w:firstLine="420"/>
      </w:pPr>
      <w:rPr>
        <w:rFonts w:hint="eastAsia"/>
      </w:rPr>
    </w:lvl>
  </w:abstractNum>
  <w:abstractNum w:abstractNumId="34">
    <w:nsid w:val="790A278A"/>
    <w:multiLevelType w:val="singleLevel"/>
    <w:tmpl w:val="790A278A"/>
    <w:lvl w:ilvl="0" w:tentative="0">
      <w:start w:val="1"/>
      <w:numFmt w:val="chineseCounting"/>
      <w:suff w:val="nothing"/>
      <w:lvlText w:val="（%1）"/>
      <w:lvlJc w:val="left"/>
      <w:pPr>
        <w:ind w:left="0" w:firstLine="420"/>
      </w:pPr>
      <w:rPr>
        <w:rFonts w:hint="eastAsia"/>
      </w:rPr>
    </w:lvl>
  </w:abstractNum>
  <w:num w:numId="1">
    <w:abstractNumId w:val="6"/>
  </w:num>
  <w:num w:numId="2">
    <w:abstractNumId w:val="28"/>
  </w:num>
  <w:num w:numId="3">
    <w:abstractNumId w:val="21"/>
  </w:num>
  <w:num w:numId="4">
    <w:abstractNumId w:val="32"/>
  </w:num>
  <w:num w:numId="5">
    <w:abstractNumId w:val="2"/>
  </w:num>
  <w:num w:numId="6">
    <w:abstractNumId w:val="1"/>
  </w:num>
  <w:num w:numId="7">
    <w:abstractNumId w:val="8"/>
  </w:num>
  <w:num w:numId="8">
    <w:abstractNumId w:val="33"/>
  </w:num>
  <w:num w:numId="9">
    <w:abstractNumId w:val="24"/>
  </w:num>
  <w:num w:numId="10">
    <w:abstractNumId w:val="29"/>
  </w:num>
  <w:num w:numId="11">
    <w:abstractNumId w:val="4"/>
  </w:num>
  <w:num w:numId="12">
    <w:abstractNumId w:val="13"/>
  </w:num>
  <w:num w:numId="13">
    <w:abstractNumId w:val="0"/>
  </w:num>
  <w:num w:numId="14">
    <w:abstractNumId w:val="23"/>
  </w:num>
  <w:num w:numId="15">
    <w:abstractNumId w:val="14"/>
  </w:num>
  <w:num w:numId="16">
    <w:abstractNumId w:val="25"/>
  </w:num>
  <w:num w:numId="17">
    <w:abstractNumId w:val="17"/>
  </w:num>
  <w:num w:numId="18">
    <w:abstractNumId w:val="27"/>
  </w:num>
  <w:num w:numId="19">
    <w:abstractNumId w:val="9"/>
  </w:num>
  <w:num w:numId="20">
    <w:abstractNumId w:val="26"/>
  </w:num>
  <w:num w:numId="21">
    <w:abstractNumId w:val="11"/>
  </w:num>
  <w:num w:numId="22">
    <w:abstractNumId w:val="12"/>
  </w:num>
  <w:num w:numId="23">
    <w:abstractNumId w:val="30"/>
  </w:num>
  <w:num w:numId="24">
    <w:abstractNumId w:val="18"/>
  </w:num>
  <w:num w:numId="25">
    <w:abstractNumId w:val="3"/>
  </w:num>
  <w:num w:numId="26">
    <w:abstractNumId w:val="16"/>
  </w:num>
  <w:num w:numId="27">
    <w:abstractNumId w:val="15"/>
  </w:num>
  <w:num w:numId="28">
    <w:abstractNumId w:val="22"/>
  </w:num>
  <w:num w:numId="29">
    <w:abstractNumId w:val="7"/>
  </w:num>
  <w:num w:numId="30">
    <w:abstractNumId w:val="31"/>
  </w:num>
  <w:num w:numId="31">
    <w:abstractNumId w:val="19"/>
  </w:num>
  <w:num w:numId="32">
    <w:abstractNumId w:val="34"/>
  </w:num>
  <w:num w:numId="33">
    <w:abstractNumId w:val="20"/>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F273E"/>
    <w:rsid w:val="00156D45"/>
    <w:rsid w:val="00377C25"/>
    <w:rsid w:val="004505E0"/>
    <w:rsid w:val="00703E60"/>
    <w:rsid w:val="00763759"/>
    <w:rsid w:val="00891600"/>
    <w:rsid w:val="00A04D48"/>
    <w:rsid w:val="00A25688"/>
    <w:rsid w:val="00A8525F"/>
    <w:rsid w:val="00AA2585"/>
    <w:rsid w:val="00BC0D0B"/>
    <w:rsid w:val="00BD3E9D"/>
    <w:rsid w:val="00BF6669"/>
    <w:rsid w:val="00C97336"/>
    <w:rsid w:val="00E43193"/>
    <w:rsid w:val="02CB0E57"/>
    <w:rsid w:val="02CE1D09"/>
    <w:rsid w:val="05B12F81"/>
    <w:rsid w:val="05C667F5"/>
    <w:rsid w:val="05D640FA"/>
    <w:rsid w:val="07401A87"/>
    <w:rsid w:val="074F0470"/>
    <w:rsid w:val="07EC6545"/>
    <w:rsid w:val="086B7537"/>
    <w:rsid w:val="08AF273E"/>
    <w:rsid w:val="0A4064D8"/>
    <w:rsid w:val="0A4D3EA2"/>
    <w:rsid w:val="0BC045E7"/>
    <w:rsid w:val="0C1D3573"/>
    <w:rsid w:val="0DC245CA"/>
    <w:rsid w:val="0F6E5474"/>
    <w:rsid w:val="103309E7"/>
    <w:rsid w:val="105367E6"/>
    <w:rsid w:val="10B97CB5"/>
    <w:rsid w:val="11576DFB"/>
    <w:rsid w:val="12D55815"/>
    <w:rsid w:val="1483317A"/>
    <w:rsid w:val="14C071F0"/>
    <w:rsid w:val="169407A8"/>
    <w:rsid w:val="1758503E"/>
    <w:rsid w:val="179B6C37"/>
    <w:rsid w:val="18BC3F84"/>
    <w:rsid w:val="1A4178E3"/>
    <w:rsid w:val="1AD61EA6"/>
    <w:rsid w:val="1B267753"/>
    <w:rsid w:val="1C193EB7"/>
    <w:rsid w:val="1D1E3B1B"/>
    <w:rsid w:val="1D8C50DF"/>
    <w:rsid w:val="20090DAA"/>
    <w:rsid w:val="200A7F9E"/>
    <w:rsid w:val="207330F7"/>
    <w:rsid w:val="207820FC"/>
    <w:rsid w:val="20F93AEE"/>
    <w:rsid w:val="221735CB"/>
    <w:rsid w:val="224A32B2"/>
    <w:rsid w:val="2266551E"/>
    <w:rsid w:val="23832CA5"/>
    <w:rsid w:val="2398279F"/>
    <w:rsid w:val="24BE56D2"/>
    <w:rsid w:val="25690EE6"/>
    <w:rsid w:val="270A5B48"/>
    <w:rsid w:val="2B0677E2"/>
    <w:rsid w:val="2B6D5128"/>
    <w:rsid w:val="2DDB6826"/>
    <w:rsid w:val="2DE269F1"/>
    <w:rsid w:val="2E0E77A7"/>
    <w:rsid w:val="2E6F791E"/>
    <w:rsid w:val="2E7D7726"/>
    <w:rsid w:val="2FA9385E"/>
    <w:rsid w:val="302415EE"/>
    <w:rsid w:val="306F4706"/>
    <w:rsid w:val="30D53CA6"/>
    <w:rsid w:val="30F47BA3"/>
    <w:rsid w:val="34A3627B"/>
    <w:rsid w:val="35752444"/>
    <w:rsid w:val="36793FE0"/>
    <w:rsid w:val="36A237BF"/>
    <w:rsid w:val="36C33D5C"/>
    <w:rsid w:val="38157A0E"/>
    <w:rsid w:val="38665BCF"/>
    <w:rsid w:val="394A2AC8"/>
    <w:rsid w:val="3AB37BAC"/>
    <w:rsid w:val="3B7611A5"/>
    <w:rsid w:val="3BCD24FC"/>
    <w:rsid w:val="3BDA2AE2"/>
    <w:rsid w:val="3CFD3AC7"/>
    <w:rsid w:val="3E045B5E"/>
    <w:rsid w:val="408C0A93"/>
    <w:rsid w:val="41690C93"/>
    <w:rsid w:val="41E21951"/>
    <w:rsid w:val="439C3E81"/>
    <w:rsid w:val="43BA7E12"/>
    <w:rsid w:val="44A44D44"/>
    <w:rsid w:val="46A638F6"/>
    <w:rsid w:val="474D4873"/>
    <w:rsid w:val="484836A5"/>
    <w:rsid w:val="48E43FA6"/>
    <w:rsid w:val="497A1F1B"/>
    <w:rsid w:val="49E84404"/>
    <w:rsid w:val="4B703BD9"/>
    <w:rsid w:val="4C127B40"/>
    <w:rsid w:val="4CC251AC"/>
    <w:rsid w:val="4DBF2864"/>
    <w:rsid w:val="4FBD587C"/>
    <w:rsid w:val="50163539"/>
    <w:rsid w:val="510C370C"/>
    <w:rsid w:val="528B3BF4"/>
    <w:rsid w:val="53A4002D"/>
    <w:rsid w:val="558B0227"/>
    <w:rsid w:val="559F33DB"/>
    <w:rsid w:val="55FD5002"/>
    <w:rsid w:val="56A55801"/>
    <w:rsid w:val="57EC4B91"/>
    <w:rsid w:val="5A322AD7"/>
    <w:rsid w:val="5ADB0293"/>
    <w:rsid w:val="5B3674D8"/>
    <w:rsid w:val="5B473ADC"/>
    <w:rsid w:val="5BD140E8"/>
    <w:rsid w:val="5D3674D7"/>
    <w:rsid w:val="5D6516F3"/>
    <w:rsid w:val="5FB22587"/>
    <w:rsid w:val="5FFC65B6"/>
    <w:rsid w:val="601636AC"/>
    <w:rsid w:val="61726BEF"/>
    <w:rsid w:val="61881DFD"/>
    <w:rsid w:val="61903D18"/>
    <w:rsid w:val="61DB5664"/>
    <w:rsid w:val="62421BDE"/>
    <w:rsid w:val="631C1734"/>
    <w:rsid w:val="634329A1"/>
    <w:rsid w:val="64A96BFF"/>
    <w:rsid w:val="64C964A2"/>
    <w:rsid w:val="65151685"/>
    <w:rsid w:val="6542066D"/>
    <w:rsid w:val="65672228"/>
    <w:rsid w:val="65B26E66"/>
    <w:rsid w:val="6702413B"/>
    <w:rsid w:val="673541E7"/>
    <w:rsid w:val="673F3A6D"/>
    <w:rsid w:val="67787DE1"/>
    <w:rsid w:val="6ABD62CB"/>
    <w:rsid w:val="6E2A65BE"/>
    <w:rsid w:val="6F5C4C4A"/>
    <w:rsid w:val="70323A93"/>
    <w:rsid w:val="7067392A"/>
    <w:rsid w:val="70D07412"/>
    <w:rsid w:val="7129406D"/>
    <w:rsid w:val="7279552A"/>
    <w:rsid w:val="72AD6497"/>
    <w:rsid w:val="74825E74"/>
    <w:rsid w:val="74BF3206"/>
    <w:rsid w:val="75160F70"/>
    <w:rsid w:val="75EA0074"/>
    <w:rsid w:val="760B1EFE"/>
    <w:rsid w:val="771334D3"/>
    <w:rsid w:val="774F4C3D"/>
    <w:rsid w:val="7752341B"/>
    <w:rsid w:val="79F957DD"/>
    <w:rsid w:val="7AFB1CE3"/>
    <w:rsid w:val="7C8A0CE6"/>
    <w:rsid w:val="7E627E8A"/>
    <w:rsid w:val="7EEA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6"/>
    <w:qFormat/>
    <w:uiPriority w:val="0"/>
    <w:rPr>
      <w:sz w:val="18"/>
      <w:szCs w:val="18"/>
    </w:rPr>
  </w:style>
  <w:style w:type="paragraph" w:styleId="7">
    <w:name w:val="footer"/>
    <w:basedOn w:val="1"/>
    <w:qFormat/>
    <w:uiPriority w:val="99"/>
    <w:pPr>
      <w:tabs>
        <w:tab w:val="center" w:pos="4153"/>
        <w:tab w:val="right" w:pos="8306"/>
      </w:tabs>
      <w:snapToGrid w:val="0"/>
      <w:jc w:val="left"/>
    </w:pPr>
    <w:rPr>
      <w:rFonts w:eastAsia="仿宋_GB2312" w:cstheme="minorBidi"/>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0000FF"/>
      <w:u w:val="single"/>
    </w:rPr>
  </w:style>
  <w:style w:type="character" w:styleId="15">
    <w:name w:val="HTML Code"/>
    <w:basedOn w:val="11"/>
    <w:qFormat/>
    <w:uiPriority w:val="0"/>
    <w:rPr>
      <w:rFonts w:ascii="Courier New" w:hAnsi="Courier New"/>
      <w:sz w:val="20"/>
    </w:rPr>
  </w:style>
  <w:style w:type="character" w:styleId="16">
    <w:name w:val="annotation reference"/>
    <w:basedOn w:val="11"/>
    <w:qFormat/>
    <w:uiPriority w:val="0"/>
    <w:rPr>
      <w:sz w:val="21"/>
      <w:szCs w:val="21"/>
    </w:rPr>
  </w:style>
  <w:style w:type="paragraph" w:customStyle="1" w:styleId="17">
    <w:name w:val="样式1"/>
    <w:basedOn w:val="8"/>
    <w:next w:val="1"/>
    <w:qFormat/>
    <w:uiPriority w:val="0"/>
    <w:rPr>
      <w:rFonts w:ascii="Times New Roman" w:hAnsi="Times New Roman"/>
    </w:rPr>
  </w:style>
  <w:style w:type="paragraph" w:customStyle="1" w:styleId="18">
    <w:name w:val="列出段落1"/>
    <w:basedOn w:val="1"/>
    <w:qFormat/>
    <w:uiPriority w:val="0"/>
    <w:pPr>
      <w:ind w:firstLine="420" w:firstLineChars="200"/>
    </w:pPr>
  </w:style>
  <w:style w:type="character" w:customStyle="1" w:styleId="19">
    <w:name w:val="font71"/>
    <w:basedOn w:val="11"/>
    <w:qFormat/>
    <w:uiPriority w:val="0"/>
    <w:rPr>
      <w:rFonts w:ascii="微软雅黑" w:hAnsi="微软雅黑" w:eastAsia="微软雅黑" w:cs="微软雅黑"/>
      <w:color w:val="000000"/>
      <w:sz w:val="22"/>
      <w:szCs w:val="22"/>
      <w:u w:val="none"/>
    </w:rPr>
  </w:style>
  <w:style w:type="character" w:customStyle="1" w:styleId="20">
    <w:name w:val="font01"/>
    <w:basedOn w:val="11"/>
    <w:qFormat/>
    <w:uiPriority w:val="0"/>
    <w:rPr>
      <w:rFonts w:hint="eastAsia" w:ascii="宋体" w:hAnsi="宋体" w:eastAsia="宋体" w:cs="宋体"/>
      <w:b/>
      <w:color w:val="000000"/>
      <w:sz w:val="22"/>
      <w:szCs w:val="22"/>
      <w:u w:val="none"/>
    </w:rPr>
  </w:style>
  <w:style w:type="character" w:customStyle="1" w:styleId="21">
    <w:name w:val="font41"/>
    <w:basedOn w:val="11"/>
    <w:qFormat/>
    <w:uiPriority w:val="0"/>
    <w:rPr>
      <w:rFonts w:hint="default" w:ascii="Times New Roman" w:hAnsi="Times New Roman" w:cs="Times New Roman"/>
      <w:color w:val="000000"/>
      <w:sz w:val="22"/>
      <w:szCs w:val="22"/>
      <w:u w:val="none"/>
    </w:rPr>
  </w:style>
  <w:style w:type="character" w:customStyle="1" w:styleId="22">
    <w:name w:val="font61"/>
    <w:basedOn w:val="11"/>
    <w:qFormat/>
    <w:uiPriority w:val="0"/>
    <w:rPr>
      <w:rFonts w:hint="eastAsia" w:ascii="宋体" w:hAnsi="宋体" w:eastAsia="宋体" w:cs="宋体"/>
      <w:color w:val="000000"/>
      <w:sz w:val="22"/>
      <w:szCs w:val="22"/>
      <w:u w:val="none"/>
    </w:rPr>
  </w:style>
  <w:style w:type="character" w:customStyle="1" w:styleId="23">
    <w:name w:val="font81"/>
    <w:basedOn w:val="11"/>
    <w:qFormat/>
    <w:uiPriority w:val="0"/>
    <w:rPr>
      <w:rFonts w:hint="default" w:ascii="Times New Roman" w:hAnsi="Times New Roman" w:cs="Times New Roman"/>
      <w:color w:val="000000"/>
      <w:sz w:val="22"/>
      <w:szCs w:val="22"/>
      <w:u w:val="none"/>
    </w:rPr>
  </w:style>
  <w:style w:type="character" w:customStyle="1" w:styleId="24">
    <w:name w:val="font91"/>
    <w:basedOn w:val="11"/>
    <w:qFormat/>
    <w:uiPriority w:val="0"/>
    <w:rPr>
      <w:rFonts w:hint="eastAsia" w:ascii="宋体" w:hAnsi="宋体" w:eastAsia="宋体" w:cs="宋体"/>
      <w:color w:val="000000"/>
      <w:sz w:val="22"/>
      <w:szCs w:val="22"/>
      <w:u w:val="none"/>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6">
    <w:name w:val="批注框文本 字符"/>
    <w:basedOn w:val="11"/>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4192</Words>
  <Characters>4400</Characters>
  <Lines>80</Lines>
  <Paragraphs>22</Paragraphs>
  <TotalTime>134</TotalTime>
  <ScaleCrop>false</ScaleCrop>
  <LinksUpToDate>false</LinksUpToDate>
  <CharactersWithSpaces>5163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2022-07-15T03:30:00Z</dcterms:created>
  <dc:creator>Administrator</dc:creator>
  <cp:lastModifiedBy>冉海容</cp:lastModifiedBy>
  <cp:lastPrinted>2025-12-16T08:41:00Z</cp:lastPrinted>
  <dcterms:modified xsi:type="dcterms:W3CDTF">2025-12-19T05:28:13Z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4749B8A3329E42AB83355CA7008B038F_13</vt:lpwstr>
  </property>
  <property fmtid="{D5CDD505-2E9C-101B-9397-08002B2CF9AE}" pid="4" name="KSOTemplateDocerSaveRecord">
    <vt:lpwstr>eyJoZGlkIjoiNDUwMTFkMDI3ZjBmZjczM2Q3M2EwOGI5M2VjYzUzMDkiLCJ1c2VySWQiOiIyNDQzODE4MTcifQ==</vt:lpwstr>
  </property>
</Properties>
</file>